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DE39B5" w:rsidRDefault="00B669A0" w:rsidP="00B669A0">
      <w:pPr>
        <w:spacing w:after="0"/>
        <w:jc w:val="center"/>
        <w:rPr>
          <w:b/>
          <w:bCs/>
          <w:lang w:val="en-GB"/>
        </w:rPr>
      </w:pPr>
      <w:r w:rsidRPr="00DE39B5">
        <w:rPr>
          <w:b/>
          <w:bCs/>
          <w:lang w:val="en-GB"/>
        </w:rPr>
        <w:t>TARGETED STAKEHOLDER CONSULTATION 2021 RULE OF LAW REPORT</w:t>
      </w:r>
    </w:p>
    <w:p w14:paraId="23699319" w14:textId="575C3A05" w:rsidR="00B669A0" w:rsidRPr="00DE39B5" w:rsidRDefault="00B669A0" w:rsidP="00B669A0">
      <w:pPr>
        <w:spacing w:after="0"/>
        <w:jc w:val="center"/>
        <w:rPr>
          <w:b/>
          <w:bCs/>
          <w:lang w:val="en-GB"/>
        </w:rPr>
      </w:pPr>
      <w:r w:rsidRPr="00DE39B5">
        <w:rPr>
          <w:b/>
          <w:bCs/>
          <w:lang w:val="en-GB"/>
        </w:rPr>
        <w:t>UN HUMAN RIGHTS REGIONAL OFFICE FOR EUROPE (OHCHR)</w:t>
      </w:r>
    </w:p>
    <w:p w14:paraId="56642246" w14:textId="77777777" w:rsidR="00B669A0" w:rsidRPr="00DE39B5" w:rsidRDefault="00B669A0" w:rsidP="00B669A0">
      <w:pPr>
        <w:spacing w:after="0"/>
        <w:rPr>
          <w:b/>
          <w:bCs/>
          <w:lang w:val="en-GB"/>
        </w:rPr>
      </w:pPr>
    </w:p>
    <w:p w14:paraId="5AED5770" w14:textId="77777777" w:rsidR="008F5F0F" w:rsidRPr="00DE39B5" w:rsidRDefault="008F5F0F" w:rsidP="00815599">
      <w:pPr>
        <w:jc w:val="both"/>
        <w:rPr>
          <w:lang w:val="en-GB"/>
        </w:rPr>
      </w:pPr>
      <w:bookmarkStart w:id="0" w:name="_GoBack"/>
      <w:bookmarkEnd w:id="0"/>
    </w:p>
    <w:p w14:paraId="465166AB" w14:textId="4696D392" w:rsidR="001B7CA2" w:rsidRPr="00DE39B5" w:rsidRDefault="00DC470F" w:rsidP="00B669A0">
      <w:pPr>
        <w:pBdr>
          <w:bottom w:val="single" w:sz="4" w:space="1" w:color="auto"/>
        </w:pBdr>
        <w:rPr>
          <w:b/>
          <w:bCs/>
          <w:lang w:val="en-GB"/>
        </w:rPr>
      </w:pPr>
      <w:r w:rsidRPr="00DE39B5">
        <w:rPr>
          <w:b/>
          <w:bCs/>
          <w:lang w:val="en-GB"/>
        </w:rPr>
        <w:t>AUSTRIA</w:t>
      </w:r>
      <w:r w:rsidR="00B669A0" w:rsidRPr="00DE39B5">
        <w:rPr>
          <w:b/>
          <w:bCs/>
          <w:lang w:val="en-GB"/>
        </w:rPr>
        <w:t xml:space="preserve"> REVIEW</w:t>
      </w:r>
    </w:p>
    <w:p w14:paraId="2EEF89E7" w14:textId="77777777" w:rsidR="001B7CA2" w:rsidRPr="00DE39B5" w:rsidRDefault="001B7CA2" w:rsidP="00B2202D">
      <w:pPr>
        <w:spacing w:line="240" w:lineRule="auto"/>
        <w:jc w:val="both"/>
        <w:rPr>
          <w:lang w:val="en-GB"/>
        </w:rPr>
      </w:pPr>
      <w:r w:rsidRPr="00DE39B5">
        <w:rPr>
          <w:b/>
          <w:bCs/>
          <w:lang w:val="en-GB"/>
        </w:rPr>
        <w:t xml:space="preserve">I. Justice System </w:t>
      </w:r>
    </w:p>
    <w:p w14:paraId="368A2681" w14:textId="77777777" w:rsidR="001B7CA2" w:rsidRPr="00DE39B5" w:rsidRDefault="001B7CA2" w:rsidP="00B2202D">
      <w:pPr>
        <w:spacing w:line="240" w:lineRule="auto"/>
        <w:jc w:val="both"/>
        <w:rPr>
          <w:lang w:val="en-GB"/>
        </w:rPr>
      </w:pPr>
      <w:r w:rsidRPr="00DE39B5">
        <w:rPr>
          <w:b/>
          <w:bCs/>
          <w:i/>
          <w:iCs/>
          <w:lang w:val="en-GB"/>
        </w:rPr>
        <w:t xml:space="preserve">A. Independence </w:t>
      </w:r>
    </w:p>
    <w:p w14:paraId="6CF3F68E" w14:textId="77777777" w:rsidR="001B7CA2" w:rsidRPr="00DE39B5" w:rsidRDefault="001B7CA2" w:rsidP="00B2202D">
      <w:pPr>
        <w:spacing w:line="240" w:lineRule="auto"/>
        <w:jc w:val="both"/>
        <w:rPr>
          <w:lang w:val="en-GB"/>
        </w:rPr>
      </w:pPr>
      <w:r w:rsidRPr="00DE39B5">
        <w:rPr>
          <w:i/>
          <w:iCs/>
          <w:lang w:val="en-GB"/>
        </w:rPr>
        <w:t xml:space="preserve">1. Appointment and selection of judges, prosecutors and court presidents </w:t>
      </w:r>
    </w:p>
    <w:p w14:paraId="6646A1AA" w14:textId="77777777" w:rsidR="001B7CA2" w:rsidRPr="00DE39B5" w:rsidRDefault="001B7CA2" w:rsidP="00B2202D">
      <w:pPr>
        <w:spacing w:line="240" w:lineRule="auto"/>
        <w:jc w:val="both"/>
        <w:rPr>
          <w:lang w:val="en-GB"/>
        </w:rPr>
      </w:pPr>
      <w:r w:rsidRPr="00DE39B5">
        <w:rPr>
          <w:i/>
          <w:iCs/>
          <w:lang w:val="en-GB"/>
        </w:rPr>
        <w:t xml:space="preserve">2. </w:t>
      </w:r>
      <w:proofErr w:type="spellStart"/>
      <w:r w:rsidRPr="00DE39B5">
        <w:rPr>
          <w:i/>
          <w:iCs/>
          <w:lang w:val="en-GB"/>
        </w:rPr>
        <w:t>Irremovability</w:t>
      </w:r>
      <w:proofErr w:type="spellEnd"/>
      <w:r w:rsidRPr="00DE39B5">
        <w:rPr>
          <w:i/>
          <w:iCs/>
          <w:lang w:val="en-GB"/>
        </w:rPr>
        <w:t xml:space="preserve"> of judges; including transfers, dismissal and retirement regime of judges, court presidents and prosecutors </w:t>
      </w:r>
    </w:p>
    <w:p w14:paraId="3EB4EF2B" w14:textId="77777777" w:rsidR="001B7CA2" w:rsidRPr="00DE39B5" w:rsidRDefault="001B7CA2" w:rsidP="00B2202D">
      <w:pPr>
        <w:spacing w:line="240" w:lineRule="auto"/>
        <w:jc w:val="both"/>
        <w:rPr>
          <w:lang w:val="en-GB"/>
        </w:rPr>
      </w:pPr>
      <w:r w:rsidRPr="00DE39B5">
        <w:rPr>
          <w:i/>
          <w:iCs/>
          <w:lang w:val="en-GB"/>
        </w:rPr>
        <w:t xml:space="preserve">3. Promotion of judges and prosecutors </w:t>
      </w:r>
    </w:p>
    <w:p w14:paraId="3E481A7D" w14:textId="77777777" w:rsidR="001B7CA2" w:rsidRPr="00DE39B5" w:rsidRDefault="001B7CA2" w:rsidP="00B2202D">
      <w:pPr>
        <w:spacing w:line="240" w:lineRule="auto"/>
        <w:jc w:val="both"/>
        <w:rPr>
          <w:lang w:val="en-GB"/>
        </w:rPr>
      </w:pPr>
      <w:r w:rsidRPr="00DE39B5">
        <w:rPr>
          <w:i/>
          <w:iCs/>
          <w:lang w:val="en-GB"/>
        </w:rPr>
        <w:t xml:space="preserve">4. Allocation of cases in courts </w:t>
      </w:r>
    </w:p>
    <w:p w14:paraId="6F2D0D64" w14:textId="77777777" w:rsidR="001B7CA2" w:rsidRPr="00DE39B5" w:rsidRDefault="001B7CA2" w:rsidP="00B2202D">
      <w:pPr>
        <w:spacing w:line="240" w:lineRule="auto"/>
        <w:jc w:val="both"/>
        <w:rPr>
          <w:lang w:val="en-GB"/>
        </w:rPr>
      </w:pPr>
      <w:r w:rsidRPr="00DE39B5">
        <w:rPr>
          <w:i/>
          <w:iCs/>
          <w:lang w:val="en-GB"/>
        </w:rPr>
        <w:t xml:space="preserve">5. Independence (including composition and nomination of its members), and powers of the body </w:t>
      </w:r>
      <w:proofErr w:type="gramStart"/>
      <w:r w:rsidRPr="00DE39B5">
        <w:rPr>
          <w:i/>
          <w:iCs/>
          <w:lang w:val="en-GB"/>
        </w:rPr>
        <w:t>tasked</w:t>
      </w:r>
      <w:proofErr w:type="gramEnd"/>
      <w:r w:rsidRPr="00DE39B5">
        <w:rPr>
          <w:i/>
          <w:iCs/>
          <w:lang w:val="en-GB"/>
        </w:rPr>
        <w:t xml:space="preserve"> with safeguarding the independence of the judiciary (e.g. Council for the Judiciary) </w:t>
      </w:r>
    </w:p>
    <w:p w14:paraId="2E67A952" w14:textId="77777777" w:rsidR="001B7CA2" w:rsidRPr="00DE39B5" w:rsidRDefault="001B7CA2" w:rsidP="00B2202D">
      <w:pPr>
        <w:spacing w:line="240" w:lineRule="auto"/>
        <w:jc w:val="both"/>
        <w:rPr>
          <w:lang w:val="en-GB"/>
        </w:rPr>
      </w:pPr>
      <w:r w:rsidRPr="00DE39B5">
        <w:rPr>
          <w:i/>
          <w:iCs/>
          <w:lang w:val="en-GB"/>
        </w:rPr>
        <w:t xml:space="preserve">6. Accountability of judges and prosecutors, including disciplinary regime and bodies and ethical rules, judicial immunity and criminal liability of judges. </w:t>
      </w:r>
    </w:p>
    <w:p w14:paraId="59D76928" w14:textId="77777777" w:rsidR="001B7CA2" w:rsidRPr="00DE39B5" w:rsidRDefault="001B7CA2" w:rsidP="00B2202D">
      <w:pPr>
        <w:spacing w:line="240" w:lineRule="auto"/>
        <w:jc w:val="both"/>
        <w:rPr>
          <w:lang w:val="en-GB"/>
        </w:rPr>
      </w:pPr>
      <w:r w:rsidRPr="00DE39B5">
        <w:rPr>
          <w:i/>
          <w:iCs/>
          <w:lang w:val="en-GB"/>
        </w:rPr>
        <w:t xml:space="preserve">7. Remuneration/bonuses for judges and prosecutors </w:t>
      </w:r>
    </w:p>
    <w:p w14:paraId="37EA107A" w14:textId="77777777" w:rsidR="001B7CA2" w:rsidRPr="00DE39B5" w:rsidRDefault="001B7CA2" w:rsidP="00B2202D">
      <w:pPr>
        <w:spacing w:line="240" w:lineRule="auto"/>
        <w:jc w:val="both"/>
        <w:rPr>
          <w:lang w:val="en-GB"/>
        </w:rPr>
      </w:pPr>
      <w:r w:rsidRPr="00DE39B5">
        <w:rPr>
          <w:i/>
          <w:iCs/>
          <w:lang w:val="en-GB"/>
        </w:rPr>
        <w:t xml:space="preserve">8. Independence/autonomy of the prosecution service </w:t>
      </w:r>
    </w:p>
    <w:p w14:paraId="2986F635" w14:textId="77777777" w:rsidR="001B7CA2" w:rsidRPr="00DE39B5" w:rsidRDefault="001B7CA2" w:rsidP="00B2202D">
      <w:pPr>
        <w:spacing w:line="240" w:lineRule="auto"/>
        <w:jc w:val="both"/>
        <w:rPr>
          <w:lang w:val="en-GB"/>
        </w:rPr>
      </w:pPr>
      <w:r w:rsidRPr="00DE39B5">
        <w:rPr>
          <w:i/>
          <w:iCs/>
          <w:lang w:val="en-GB"/>
        </w:rPr>
        <w:t xml:space="preserve">9. Independence of the Bar (chamber/association of lawyers) and of lawyers </w:t>
      </w:r>
    </w:p>
    <w:p w14:paraId="39A01995" w14:textId="125E2A3F" w:rsidR="001B7CA2" w:rsidRPr="00DE39B5" w:rsidRDefault="001B7CA2" w:rsidP="00B2202D">
      <w:pPr>
        <w:spacing w:line="240" w:lineRule="auto"/>
        <w:jc w:val="both"/>
        <w:rPr>
          <w:lang w:val="en-GB"/>
        </w:rPr>
      </w:pPr>
      <w:r w:rsidRPr="00DE39B5">
        <w:rPr>
          <w:i/>
          <w:iCs/>
          <w:lang w:val="en-GB"/>
        </w:rPr>
        <w:t xml:space="preserve">10. Significant developments capable of affecting the perception that the </w:t>
      </w:r>
      <w:proofErr w:type="gramStart"/>
      <w:r w:rsidRPr="00DE39B5">
        <w:rPr>
          <w:i/>
          <w:iCs/>
          <w:lang w:val="en-GB"/>
        </w:rPr>
        <w:t>general public</w:t>
      </w:r>
      <w:proofErr w:type="gramEnd"/>
      <w:r w:rsidRPr="00DE39B5">
        <w:rPr>
          <w:i/>
          <w:iCs/>
          <w:lang w:val="en-GB"/>
        </w:rPr>
        <w:t xml:space="preserve"> has of the independence of the judiciary </w:t>
      </w:r>
    </w:p>
    <w:p w14:paraId="4E024A29" w14:textId="77777777" w:rsidR="001B7CA2" w:rsidRPr="00DE39B5" w:rsidRDefault="001B7CA2" w:rsidP="00B2202D">
      <w:pPr>
        <w:spacing w:line="240" w:lineRule="auto"/>
        <w:jc w:val="both"/>
        <w:rPr>
          <w:lang w:val="en-GB"/>
        </w:rPr>
      </w:pPr>
      <w:r w:rsidRPr="00DE39B5">
        <w:rPr>
          <w:lang w:val="en-GB"/>
        </w:rPr>
        <w:t xml:space="preserve"> </w:t>
      </w:r>
      <w:r w:rsidRPr="00DE39B5">
        <w:rPr>
          <w:b/>
          <w:bCs/>
          <w:i/>
          <w:iCs/>
          <w:lang w:val="en-GB"/>
        </w:rPr>
        <w:t xml:space="preserve">B. Quality of justice </w:t>
      </w:r>
    </w:p>
    <w:p w14:paraId="48E3E95A" w14:textId="384276FF" w:rsidR="001B7CA2" w:rsidRDefault="001B7CA2" w:rsidP="00B2202D">
      <w:pPr>
        <w:spacing w:line="240" w:lineRule="auto"/>
        <w:jc w:val="both"/>
        <w:rPr>
          <w:i/>
          <w:iCs/>
          <w:lang w:val="en-GB"/>
        </w:rPr>
      </w:pPr>
      <w:r w:rsidRPr="00DE39B5">
        <w:rPr>
          <w:i/>
          <w:iCs/>
          <w:lang w:val="en-GB"/>
        </w:rPr>
        <w:t xml:space="preserve">11. Accessibility of courts (e.g. court fees, legal aid, language) </w:t>
      </w:r>
    </w:p>
    <w:p w14:paraId="5901B04E" w14:textId="1B8D6856" w:rsidR="001B7CA2" w:rsidRPr="00DE39B5" w:rsidRDefault="001B7CA2" w:rsidP="00B2202D">
      <w:pPr>
        <w:spacing w:line="240" w:lineRule="auto"/>
        <w:jc w:val="both"/>
        <w:rPr>
          <w:lang w:val="en-GB"/>
        </w:rPr>
      </w:pPr>
      <w:r w:rsidRPr="00DE39B5">
        <w:rPr>
          <w:i/>
          <w:iCs/>
          <w:lang w:val="en-GB"/>
        </w:rPr>
        <w:t xml:space="preserve">12. Resources of the judiciary (human/financial/material) </w:t>
      </w:r>
    </w:p>
    <w:p w14:paraId="30D576F4" w14:textId="3F44C7DE" w:rsidR="001B7CA2" w:rsidRPr="00DE39B5" w:rsidRDefault="001B7CA2" w:rsidP="00B2202D">
      <w:pPr>
        <w:spacing w:line="240" w:lineRule="auto"/>
        <w:jc w:val="both"/>
        <w:rPr>
          <w:i/>
          <w:iCs/>
          <w:lang w:val="en-GB"/>
        </w:rPr>
      </w:pPr>
      <w:r w:rsidRPr="00DE39B5">
        <w:rPr>
          <w:i/>
          <w:iCs/>
          <w:lang w:val="en-GB"/>
        </w:rPr>
        <w:t xml:space="preserve">13. Training of justice professionals (including judges, prosecutors, lawyers, court staff) </w:t>
      </w:r>
    </w:p>
    <w:p w14:paraId="63D2A351" w14:textId="322FDFB8" w:rsidR="003F5DE6" w:rsidRDefault="003F5DE6" w:rsidP="00B2202D">
      <w:pPr>
        <w:spacing w:line="240" w:lineRule="auto"/>
        <w:jc w:val="both"/>
        <w:rPr>
          <w:lang w:val="en-GB"/>
        </w:rPr>
      </w:pPr>
      <w:r w:rsidRPr="00DE39B5">
        <w:rPr>
          <w:lang w:val="en-GB"/>
        </w:rPr>
        <w:t xml:space="preserve">In its 2020 </w:t>
      </w:r>
      <w:r w:rsidR="000619AF">
        <w:rPr>
          <w:lang w:val="en-GB"/>
        </w:rPr>
        <w:t>c</w:t>
      </w:r>
      <w:r w:rsidRPr="00DE39B5">
        <w:rPr>
          <w:lang w:val="en-GB"/>
        </w:rPr>
        <w:t>oncluding observations, the UN Committee on the Rights of the Child urged Austria to provide systematic training on how to investigate and prosecute complaints of cyberbullying and grooming in a child- and gender-sensitive manner that respect</w:t>
      </w:r>
      <w:r w:rsidR="005D15AD">
        <w:rPr>
          <w:lang w:val="en-GB"/>
        </w:rPr>
        <w:t>s the privacy of the victim (</w:t>
      </w:r>
      <w:hyperlink r:id="rId8" w:history="1">
        <w:r w:rsidRPr="00DE39B5">
          <w:rPr>
            <w:rStyle w:val="Hyperlink"/>
            <w:lang w:val="en-GB"/>
          </w:rPr>
          <w:t>CRC/C/AUT/CO/5-6</w:t>
        </w:r>
      </w:hyperlink>
      <w:r w:rsidRPr="00DE39B5">
        <w:rPr>
          <w:lang w:val="en-GB"/>
        </w:rPr>
        <w:t>, para 25b).</w:t>
      </w:r>
    </w:p>
    <w:p w14:paraId="22D03FBB" w14:textId="39045B02" w:rsidR="003F5DE6" w:rsidRDefault="003F5DE6" w:rsidP="00B2202D">
      <w:pPr>
        <w:spacing w:line="240" w:lineRule="auto"/>
        <w:jc w:val="both"/>
        <w:rPr>
          <w:lang w:val="en-GB"/>
        </w:rPr>
      </w:pPr>
      <w:proofErr w:type="gramStart"/>
      <w:r>
        <w:rPr>
          <w:lang w:val="en-GB"/>
        </w:rPr>
        <w:t xml:space="preserve">In its 2019 </w:t>
      </w:r>
      <w:r w:rsidR="000619AF">
        <w:rPr>
          <w:lang w:val="en-GB"/>
        </w:rPr>
        <w:t>c</w:t>
      </w:r>
      <w:r>
        <w:rPr>
          <w:lang w:val="en-GB"/>
        </w:rPr>
        <w:t xml:space="preserve">oncluding observations, the UN Committee on the Elimination of Discrimination against Women recommended Austria to </w:t>
      </w:r>
      <w:r w:rsidRPr="0014050F">
        <w:rPr>
          <w:lang w:val="en-GB"/>
        </w:rPr>
        <w:t>further strengthen legal training and capacity-building programmes on the Convention, the Optional Protocol, the Committee’s jurisprudence</w:t>
      </w:r>
      <w:r>
        <w:rPr>
          <w:lang w:val="en-GB"/>
        </w:rPr>
        <w:t xml:space="preserve">, </w:t>
      </w:r>
      <w:r w:rsidRPr="0014050F">
        <w:rPr>
          <w:lang w:val="en-GB"/>
        </w:rPr>
        <w:t>the Committee’s general recommendations</w:t>
      </w:r>
      <w:r>
        <w:rPr>
          <w:lang w:val="en-GB"/>
        </w:rPr>
        <w:t xml:space="preserve"> and on </w:t>
      </w:r>
      <w:r w:rsidRPr="00A65901">
        <w:rPr>
          <w:lang w:val="en-GB"/>
        </w:rPr>
        <w:t>the strict application of criminal law provisions on gender-based violence against women and on gender-sensitive investigation procedures</w:t>
      </w:r>
      <w:r w:rsidR="005D15AD">
        <w:rPr>
          <w:lang w:val="en-GB"/>
        </w:rPr>
        <w:t xml:space="preserve"> (</w:t>
      </w:r>
      <w:hyperlink r:id="rId9" w:history="1">
        <w:r w:rsidRPr="0014050F">
          <w:rPr>
            <w:rStyle w:val="Hyperlink"/>
            <w:lang w:val="en-GB"/>
          </w:rPr>
          <w:t>CEDAW/C/AUT/CO/9</w:t>
        </w:r>
      </w:hyperlink>
      <w:r>
        <w:rPr>
          <w:lang w:val="en-GB"/>
        </w:rPr>
        <w:t>, para 11, 22, 23).</w:t>
      </w:r>
      <w:proofErr w:type="gramEnd"/>
      <w:r>
        <w:rPr>
          <w:lang w:val="en-GB"/>
        </w:rPr>
        <w:t xml:space="preserve"> </w:t>
      </w:r>
    </w:p>
    <w:p w14:paraId="2A29B297" w14:textId="4DC7CE67" w:rsidR="003F5DE6" w:rsidRPr="00DE39B5" w:rsidRDefault="003F5DE6" w:rsidP="00B2202D">
      <w:pPr>
        <w:spacing w:line="240" w:lineRule="auto"/>
        <w:jc w:val="both"/>
        <w:rPr>
          <w:lang w:val="en-GB"/>
        </w:rPr>
      </w:pPr>
      <w:r>
        <w:rPr>
          <w:lang w:val="en-GB"/>
        </w:rPr>
        <w:t xml:space="preserve">In its 2018 </w:t>
      </w:r>
      <w:r w:rsidR="006D49CF">
        <w:rPr>
          <w:lang w:val="en-GB"/>
        </w:rPr>
        <w:t>C</w:t>
      </w:r>
      <w:r>
        <w:rPr>
          <w:lang w:val="en-GB"/>
        </w:rPr>
        <w:t xml:space="preserve">oncluding observations, the UN Committee on Enforced Disappearances noted that no specific training to judges, members of the security forces and prison staff on the relevant provisions of the Convention in terms of its article 23 </w:t>
      </w:r>
      <w:proofErr w:type="gramStart"/>
      <w:r w:rsidR="000619AF">
        <w:rPr>
          <w:lang w:val="en-GB"/>
        </w:rPr>
        <w:t xml:space="preserve">was </w:t>
      </w:r>
      <w:r>
        <w:rPr>
          <w:lang w:val="en-GB"/>
        </w:rPr>
        <w:t>currently provided</w:t>
      </w:r>
      <w:proofErr w:type="gramEnd"/>
      <w:r>
        <w:rPr>
          <w:lang w:val="en-GB"/>
        </w:rPr>
        <w:t xml:space="preserve">. </w:t>
      </w:r>
      <w:proofErr w:type="gramStart"/>
      <w:r>
        <w:rPr>
          <w:lang w:val="en-GB"/>
        </w:rPr>
        <w:t xml:space="preserve">The Committee recommended Austria to ensure that all law enforcement personnel, whether civil or military, medical personnel, </w:t>
      </w:r>
      <w:r>
        <w:rPr>
          <w:lang w:val="en-GB"/>
        </w:rPr>
        <w:lastRenderedPageBreak/>
        <w:t>public officials and other persons who may be involved in the custody or treatment of any person deprived of liberty, including judges, prosecutors and other court officials of all ranks, receive appropriate and regular training on the provisions of the Convention</w:t>
      </w:r>
      <w:r w:rsidR="005D15AD">
        <w:rPr>
          <w:lang w:val="en-GB"/>
        </w:rPr>
        <w:t xml:space="preserve"> (</w:t>
      </w:r>
      <w:hyperlink r:id="rId10" w:history="1">
        <w:r w:rsidRPr="00DE39B5">
          <w:rPr>
            <w:rStyle w:val="Hyperlink"/>
            <w:lang w:val="en-GB"/>
          </w:rPr>
          <w:t>CED/C/AUT/CO/1</w:t>
        </w:r>
      </w:hyperlink>
      <w:r w:rsidRPr="00DE39B5">
        <w:rPr>
          <w:lang w:val="en-GB"/>
        </w:rPr>
        <w:t xml:space="preserve">, para </w:t>
      </w:r>
      <w:r>
        <w:rPr>
          <w:lang w:val="en-GB"/>
        </w:rPr>
        <w:t>22, 23</w:t>
      </w:r>
      <w:r w:rsidRPr="00DE39B5">
        <w:rPr>
          <w:lang w:val="en-GB"/>
        </w:rPr>
        <w:t>).</w:t>
      </w:r>
      <w:proofErr w:type="gramEnd"/>
    </w:p>
    <w:p w14:paraId="08414796" w14:textId="77777777" w:rsidR="001B7CA2" w:rsidRPr="00DE39B5" w:rsidRDefault="001B7CA2" w:rsidP="00B2202D">
      <w:pPr>
        <w:spacing w:line="240" w:lineRule="auto"/>
        <w:jc w:val="both"/>
        <w:rPr>
          <w:lang w:val="en-GB"/>
        </w:rPr>
      </w:pPr>
      <w:r w:rsidRPr="00DE39B5">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DE39B5" w:rsidRDefault="001B7CA2" w:rsidP="00B2202D">
      <w:pPr>
        <w:spacing w:line="240" w:lineRule="auto"/>
        <w:jc w:val="both"/>
        <w:rPr>
          <w:lang w:val="en-GB"/>
        </w:rPr>
      </w:pPr>
      <w:r w:rsidRPr="00DE39B5">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DE39B5" w:rsidRDefault="001B7CA2" w:rsidP="00B2202D">
      <w:pPr>
        <w:spacing w:line="240" w:lineRule="auto"/>
        <w:jc w:val="both"/>
        <w:rPr>
          <w:lang w:val="en-GB"/>
        </w:rPr>
      </w:pPr>
      <w:r w:rsidRPr="00DE39B5">
        <w:rPr>
          <w:i/>
          <w:iCs/>
          <w:lang w:val="en-GB"/>
        </w:rPr>
        <w:t xml:space="preserve">16. Geographical distribution and number of courts/jurisdictions (“judicial map”) and their specialisation </w:t>
      </w:r>
    </w:p>
    <w:p w14:paraId="5CD1D694" w14:textId="77777777" w:rsidR="001B7CA2" w:rsidRPr="00DE39B5" w:rsidRDefault="001B7CA2" w:rsidP="00B2202D">
      <w:pPr>
        <w:spacing w:line="240" w:lineRule="auto"/>
        <w:jc w:val="both"/>
        <w:rPr>
          <w:lang w:val="en-GB"/>
        </w:rPr>
      </w:pPr>
      <w:r w:rsidRPr="00DE39B5">
        <w:rPr>
          <w:b/>
          <w:bCs/>
          <w:i/>
          <w:iCs/>
          <w:lang w:val="en-GB"/>
        </w:rPr>
        <w:t xml:space="preserve">C. Efficiency of the justice system </w:t>
      </w:r>
    </w:p>
    <w:p w14:paraId="22318488" w14:textId="24F7E1FB" w:rsidR="001B7CA2" w:rsidRPr="00DE39B5" w:rsidRDefault="001B7CA2" w:rsidP="00B2202D">
      <w:pPr>
        <w:spacing w:line="240" w:lineRule="auto"/>
        <w:jc w:val="both"/>
        <w:rPr>
          <w:lang w:val="en-GB"/>
        </w:rPr>
      </w:pPr>
      <w:r w:rsidRPr="00DE39B5">
        <w:rPr>
          <w:i/>
          <w:iCs/>
          <w:lang w:val="en-GB"/>
        </w:rPr>
        <w:t xml:space="preserve">17. Length of proceedings </w:t>
      </w:r>
    </w:p>
    <w:p w14:paraId="60B62A00" w14:textId="77777777" w:rsidR="001B7CA2" w:rsidRPr="00DE39B5" w:rsidRDefault="001B7CA2" w:rsidP="00B2202D">
      <w:pPr>
        <w:spacing w:line="240" w:lineRule="auto"/>
        <w:jc w:val="both"/>
        <w:rPr>
          <w:b/>
          <w:bCs/>
          <w:i/>
          <w:iCs/>
          <w:lang w:val="en-GB"/>
        </w:rPr>
      </w:pPr>
      <w:r w:rsidRPr="00DE39B5">
        <w:rPr>
          <w:b/>
          <w:bCs/>
          <w:i/>
          <w:iCs/>
          <w:lang w:val="en-GB"/>
        </w:rPr>
        <w:t xml:space="preserve">Other – please specify </w:t>
      </w:r>
    </w:p>
    <w:p w14:paraId="1FB9CED5" w14:textId="5A9F6554" w:rsidR="008628EF" w:rsidRDefault="001B7CA2" w:rsidP="00B2202D">
      <w:pPr>
        <w:spacing w:line="240" w:lineRule="auto"/>
        <w:jc w:val="both"/>
        <w:rPr>
          <w:lang w:val="en-GB"/>
        </w:rPr>
      </w:pPr>
      <w:bookmarkStart w:id="1" w:name="_Toc63090913"/>
      <w:r w:rsidRPr="00DE39B5">
        <w:rPr>
          <w:rFonts w:eastAsia="Calibri" w:cstheme="minorHAnsi"/>
          <w:i/>
          <w:iCs/>
          <w:szCs w:val="25"/>
          <w:lang w:val="en-GB"/>
        </w:rPr>
        <w:t xml:space="preserve">Administration of </w:t>
      </w:r>
      <w:r w:rsidR="00C30641" w:rsidRPr="00DE39B5">
        <w:rPr>
          <w:rFonts w:eastAsia="Calibri" w:cstheme="minorHAnsi"/>
          <w:i/>
          <w:iCs/>
          <w:szCs w:val="25"/>
          <w:lang w:val="en-GB"/>
        </w:rPr>
        <w:t>child</w:t>
      </w:r>
      <w:r w:rsidRPr="00DE39B5">
        <w:rPr>
          <w:rFonts w:eastAsia="Calibri" w:cstheme="minorHAnsi"/>
          <w:i/>
          <w:iCs/>
          <w:szCs w:val="25"/>
          <w:lang w:val="en-GB"/>
        </w:rPr>
        <w:t xml:space="preserve"> justice</w:t>
      </w:r>
      <w:bookmarkEnd w:id="1"/>
      <w:r w:rsidR="000619AF">
        <w:rPr>
          <w:rFonts w:eastAsia="Calibri" w:cstheme="minorHAnsi"/>
          <w:i/>
          <w:iCs/>
          <w:szCs w:val="25"/>
          <w:lang w:val="en-GB"/>
        </w:rPr>
        <w:t xml:space="preserve"> - </w:t>
      </w:r>
      <w:r w:rsidR="000619AF">
        <w:rPr>
          <w:rFonts w:cstheme="minorHAnsi"/>
          <w:lang w:val="en-GB"/>
        </w:rPr>
        <w:t>In</w:t>
      </w:r>
      <w:r w:rsidR="000619AF" w:rsidRPr="00DE39B5">
        <w:rPr>
          <w:rFonts w:cstheme="minorHAnsi"/>
          <w:lang w:val="en-GB"/>
        </w:rPr>
        <w:t xml:space="preserve"> its 2020 </w:t>
      </w:r>
      <w:r w:rsidR="000619AF">
        <w:rPr>
          <w:rFonts w:cstheme="minorHAnsi"/>
          <w:lang w:val="en-GB"/>
        </w:rPr>
        <w:t>c</w:t>
      </w:r>
      <w:r w:rsidR="000619AF" w:rsidRPr="00DE39B5">
        <w:rPr>
          <w:rFonts w:cstheme="minorHAnsi"/>
          <w:lang w:val="en-GB"/>
        </w:rPr>
        <w:t>oncluding observatio</w:t>
      </w:r>
      <w:r w:rsidR="000619AF">
        <w:rPr>
          <w:rFonts w:cstheme="minorHAnsi"/>
          <w:lang w:val="en-GB"/>
        </w:rPr>
        <w:t>ns, t</w:t>
      </w:r>
      <w:r w:rsidR="00C30641" w:rsidRPr="00DE39B5">
        <w:rPr>
          <w:rFonts w:cstheme="minorHAnsi"/>
          <w:lang w:val="en-GB"/>
        </w:rPr>
        <w:t xml:space="preserve">he UN Committee on the Rights of the Child welcomed the reform of the Juvenile Courts Act in 2015, while expressing concern over the increased number of children in detention. The Committee recommended Austria to start working towards a time limit of 30 days for children in </w:t>
      </w:r>
      <w:proofErr w:type="spellStart"/>
      <w:r w:rsidR="00C30641" w:rsidRPr="00DE39B5">
        <w:rPr>
          <w:rFonts w:cstheme="minorHAnsi"/>
          <w:lang w:val="en-GB"/>
        </w:rPr>
        <w:t>pretrial</w:t>
      </w:r>
      <w:proofErr w:type="spellEnd"/>
      <w:r w:rsidR="00C30641" w:rsidRPr="00DE39B5">
        <w:rPr>
          <w:rFonts w:cstheme="minorHAnsi"/>
          <w:lang w:val="en-GB"/>
        </w:rPr>
        <w:t xml:space="preserve"> detention and ensure that the circumstances under which such a time limit </w:t>
      </w:r>
      <w:proofErr w:type="gramStart"/>
      <w:r w:rsidR="00C30641" w:rsidRPr="00DE39B5">
        <w:rPr>
          <w:rFonts w:cstheme="minorHAnsi"/>
          <w:lang w:val="en-GB"/>
        </w:rPr>
        <w:t>can exceptionally be extended</w:t>
      </w:r>
      <w:proofErr w:type="gramEnd"/>
      <w:r w:rsidR="00C30641" w:rsidRPr="00DE39B5">
        <w:rPr>
          <w:rFonts w:cstheme="minorHAnsi"/>
          <w:lang w:val="en-GB"/>
        </w:rPr>
        <w:t xml:space="preserve"> is clearly defined in law. Secondly, the Committee recommended to continue to promote non-judicial measures, such as diversion, mediation and counselling, for children accused of criminal offences and, wherever possible, non-custodial sentences for children, such as </w:t>
      </w:r>
      <w:r w:rsidR="005D15AD">
        <w:rPr>
          <w:rFonts w:cstheme="minorHAnsi"/>
          <w:lang w:val="en-GB"/>
        </w:rPr>
        <w:t>probation or community service (</w:t>
      </w:r>
      <w:hyperlink r:id="rId11" w:history="1">
        <w:r w:rsidR="00C30641" w:rsidRPr="00DE39B5">
          <w:rPr>
            <w:rStyle w:val="Hyperlink"/>
            <w:lang w:val="en-GB"/>
          </w:rPr>
          <w:t>CRC/C/AUT/CO/5-6</w:t>
        </w:r>
      </w:hyperlink>
      <w:r w:rsidR="00C30641" w:rsidRPr="00DE39B5">
        <w:rPr>
          <w:lang w:val="en-GB"/>
        </w:rPr>
        <w:t>, para 42).</w:t>
      </w:r>
    </w:p>
    <w:p w14:paraId="79AD8ACC" w14:textId="0B6AEAAE" w:rsidR="001B7CA2" w:rsidRPr="00DE39B5" w:rsidRDefault="001B7CA2" w:rsidP="00B2202D">
      <w:pPr>
        <w:spacing w:line="240" w:lineRule="auto"/>
        <w:jc w:val="both"/>
        <w:rPr>
          <w:lang w:val="en-GB"/>
        </w:rPr>
      </w:pPr>
      <w:r w:rsidRPr="00DE39B5">
        <w:rPr>
          <w:b/>
          <w:bCs/>
          <w:lang w:val="en-GB"/>
        </w:rPr>
        <w:t xml:space="preserve">II. Anti-corruption framework </w:t>
      </w:r>
    </w:p>
    <w:p w14:paraId="11B2B404" w14:textId="77777777" w:rsidR="001B7CA2" w:rsidRPr="00DE39B5" w:rsidRDefault="001B7CA2" w:rsidP="00B2202D">
      <w:pPr>
        <w:spacing w:line="240" w:lineRule="auto"/>
        <w:jc w:val="both"/>
        <w:rPr>
          <w:lang w:val="en-GB"/>
        </w:rPr>
      </w:pPr>
      <w:r w:rsidRPr="00DE39B5">
        <w:rPr>
          <w:b/>
          <w:bCs/>
          <w:i/>
          <w:iCs/>
          <w:lang w:val="en-GB"/>
        </w:rPr>
        <w:t xml:space="preserve">A. The institutional framework capacity to fight against corruption (prevention and investigation / prosecution) </w:t>
      </w:r>
    </w:p>
    <w:p w14:paraId="0FB0B354" w14:textId="77777777" w:rsidR="001B7CA2" w:rsidRPr="00DE39B5" w:rsidRDefault="001B7CA2" w:rsidP="00B2202D">
      <w:pPr>
        <w:spacing w:line="240" w:lineRule="auto"/>
        <w:jc w:val="both"/>
        <w:rPr>
          <w:lang w:val="en-GB"/>
        </w:rPr>
      </w:pPr>
      <w:r w:rsidRPr="00DE39B5">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DE39B5" w:rsidRDefault="001B7CA2" w:rsidP="00B2202D">
      <w:pPr>
        <w:spacing w:line="240" w:lineRule="auto"/>
        <w:jc w:val="both"/>
        <w:rPr>
          <w:lang w:val="en-GB"/>
        </w:rPr>
      </w:pPr>
      <w:r w:rsidRPr="00DE39B5">
        <w:rPr>
          <w:b/>
          <w:bCs/>
          <w:i/>
          <w:iCs/>
          <w:lang w:val="en-GB"/>
        </w:rPr>
        <w:t xml:space="preserve">B. Prevention </w:t>
      </w:r>
    </w:p>
    <w:p w14:paraId="0A8E6A3F" w14:textId="77777777" w:rsidR="001B7CA2" w:rsidRPr="00DE39B5" w:rsidRDefault="001B7CA2" w:rsidP="00B2202D">
      <w:pPr>
        <w:spacing w:line="240" w:lineRule="auto"/>
        <w:jc w:val="both"/>
        <w:rPr>
          <w:lang w:val="en-GB"/>
        </w:rPr>
      </w:pPr>
      <w:r w:rsidRPr="00DE39B5">
        <w:rPr>
          <w:i/>
          <w:iCs/>
          <w:lang w:val="en-GB"/>
        </w:rPr>
        <w:t>19. Integrity framework including incompatibility rules (</w:t>
      </w:r>
      <w:proofErr w:type="gramStart"/>
      <w:r w:rsidRPr="00DE39B5">
        <w:rPr>
          <w:i/>
          <w:iCs/>
          <w:lang w:val="en-GB"/>
        </w:rPr>
        <w:t>e.g.:</w:t>
      </w:r>
      <w:proofErr w:type="gramEnd"/>
      <w:r w:rsidRPr="00DE39B5">
        <w:rPr>
          <w:i/>
          <w:iCs/>
          <w:lang w:val="en-GB"/>
        </w:rPr>
        <w:t xml:space="preserve"> revolving doors) </w:t>
      </w:r>
    </w:p>
    <w:p w14:paraId="148EA6BD" w14:textId="77777777" w:rsidR="001B7CA2" w:rsidRPr="00DE39B5" w:rsidRDefault="001B7CA2" w:rsidP="00B2202D">
      <w:pPr>
        <w:spacing w:line="240" w:lineRule="auto"/>
        <w:jc w:val="both"/>
        <w:rPr>
          <w:lang w:val="en-GB"/>
        </w:rPr>
      </w:pPr>
      <w:r w:rsidRPr="00DE39B5">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DE39B5" w:rsidRDefault="001B7CA2" w:rsidP="00B2202D">
      <w:pPr>
        <w:spacing w:line="240" w:lineRule="auto"/>
        <w:jc w:val="both"/>
        <w:rPr>
          <w:lang w:val="en-GB"/>
        </w:rPr>
      </w:pPr>
      <w:r w:rsidRPr="00DE39B5">
        <w:rPr>
          <w:i/>
          <w:iCs/>
          <w:lang w:val="en-GB"/>
        </w:rPr>
        <w:t xml:space="preserve">21. Rules on preventing conflict of interests in the public sector </w:t>
      </w:r>
    </w:p>
    <w:p w14:paraId="626AE658" w14:textId="77777777" w:rsidR="001B7CA2" w:rsidRPr="00DE39B5" w:rsidRDefault="001B7CA2" w:rsidP="00B2202D">
      <w:pPr>
        <w:spacing w:line="240" w:lineRule="auto"/>
        <w:jc w:val="both"/>
        <w:rPr>
          <w:lang w:val="en-GB"/>
        </w:rPr>
      </w:pPr>
      <w:r w:rsidRPr="00DE39B5">
        <w:rPr>
          <w:i/>
          <w:iCs/>
          <w:lang w:val="en-GB"/>
        </w:rPr>
        <w:t xml:space="preserve">22. Measures in place to ensure </w:t>
      </w:r>
      <w:proofErr w:type="spellStart"/>
      <w:r w:rsidRPr="00DE39B5">
        <w:rPr>
          <w:i/>
          <w:iCs/>
          <w:lang w:val="en-GB"/>
        </w:rPr>
        <w:t>whistleblower</w:t>
      </w:r>
      <w:proofErr w:type="spellEnd"/>
      <w:r w:rsidRPr="00DE39B5">
        <w:rPr>
          <w:i/>
          <w:iCs/>
          <w:lang w:val="en-GB"/>
        </w:rPr>
        <w:t xml:space="preserve"> protection and encourage reporting of corruption </w:t>
      </w:r>
    </w:p>
    <w:p w14:paraId="3A13B46E" w14:textId="77777777" w:rsidR="001B7CA2" w:rsidRPr="00DE39B5" w:rsidRDefault="001B7CA2" w:rsidP="00B2202D">
      <w:pPr>
        <w:spacing w:line="240" w:lineRule="auto"/>
        <w:jc w:val="both"/>
        <w:rPr>
          <w:lang w:val="en-GB"/>
        </w:rPr>
      </w:pPr>
      <w:r w:rsidRPr="00DE39B5">
        <w:rPr>
          <w:i/>
          <w:iCs/>
          <w:lang w:val="en-GB"/>
        </w:rPr>
        <w:t>23. List the sectors with high-risks of corruption in your Member State and list the relevant measures taken/envisaged for preventing corruption and conflict of interest in these sectors. (</w:t>
      </w:r>
      <w:proofErr w:type="gramStart"/>
      <w:r w:rsidRPr="00DE39B5">
        <w:rPr>
          <w:i/>
          <w:iCs/>
          <w:lang w:val="en-GB"/>
        </w:rPr>
        <w:t>e.g</w:t>
      </w:r>
      <w:proofErr w:type="gramEnd"/>
      <w:r w:rsidRPr="00DE39B5">
        <w:rPr>
          <w:i/>
          <w:iCs/>
          <w:lang w:val="en-GB"/>
        </w:rPr>
        <w:t xml:space="preserve">. public procurement, healthcare, other). </w:t>
      </w:r>
    </w:p>
    <w:p w14:paraId="20FDC079" w14:textId="77777777" w:rsidR="001B7CA2" w:rsidRPr="00DE39B5" w:rsidRDefault="001B7CA2" w:rsidP="00B2202D">
      <w:pPr>
        <w:spacing w:line="240" w:lineRule="auto"/>
        <w:jc w:val="both"/>
        <w:rPr>
          <w:lang w:val="en-GB"/>
        </w:rPr>
      </w:pPr>
      <w:r w:rsidRPr="00DE39B5">
        <w:rPr>
          <w:i/>
          <w:iCs/>
          <w:lang w:val="en-GB"/>
        </w:rPr>
        <w:t xml:space="preserve">24. Measures taken to address corruption risks in the context of the COVID-19 pandemic. </w:t>
      </w:r>
    </w:p>
    <w:p w14:paraId="41CD93A2" w14:textId="77777777" w:rsidR="001B7CA2" w:rsidRPr="00DE39B5" w:rsidRDefault="001B7CA2" w:rsidP="00B2202D">
      <w:pPr>
        <w:spacing w:line="240" w:lineRule="auto"/>
        <w:jc w:val="both"/>
        <w:rPr>
          <w:lang w:val="en-GB"/>
        </w:rPr>
      </w:pPr>
      <w:r w:rsidRPr="00DE39B5">
        <w:rPr>
          <w:i/>
          <w:iCs/>
          <w:lang w:val="en-GB"/>
        </w:rPr>
        <w:t xml:space="preserve">25. Any other relevant measures to prevent corruption in public and private sector </w:t>
      </w:r>
    </w:p>
    <w:p w14:paraId="06A5981B" w14:textId="77777777" w:rsidR="001B7CA2" w:rsidRPr="00DE39B5" w:rsidRDefault="001B7CA2" w:rsidP="00B2202D">
      <w:pPr>
        <w:spacing w:line="240" w:lineRule="auto"/>
        <w:jc w:val="both"/>
        <w:rPr>
          <w:lang w:val="en-GB"/>
        </w:rPr>
      </w:pPr>
      <w:r w:rsidRPr="00DE39B5">
        <w:rPr>
          <w:b/>
          <w:bCs/>
          <w:i/>
          <w:iCs/>
          <w:lang w:val="en-GB"/>
        </w:rPr>
        <w:t xml:space="preserve">C. Repressive measures </w:t>
      </w:r>
    </w:p>
    <w:p w14:paraId="19C8E6A7" w14:textId="77777777" w:rsidR="001B7CA2" w:rsidRPr="00DE39B5" w:rsidRDefault="001B7CA2" w:rsidP="00B2202D">
      <w:pPr>
        <w:spacing w:line="240" w:lineRule="auto"/>
        <w:jc w:val="both"/>
        <w:rPr>
          <w:lang w:val="en-GB"/>
        </w:rPr>
      </w:pPr>
      <w:r w:rsidRPr="00DE39B5">
        <w:rPr>
          <w:i/>
          <w:iCs/>
          <w:lang w:val="en-GB"/>
        </w:rPr>
        <w:t xml:space="preserve">26. Criminalisation of corruption and related offences </w:t>
      </w:r>
    </w:p>
    <w:p w14:paraId="4B4559E7" w14:textId="77777777" w:rsidR="001B7CA2" w:rsidRPr="00DE39B5" w:rsidRDefault="001B7CA2" w:rsidP="00B2202D">
      <w:pPr>
        <w:spacing w:line="240" w:lineRule="auto"/>
        <w:jc w:val="both"/>
        <w:rPr>
          <w:lang w:val="en-GB"/>
        </w:rPr>
      </w:pPr>
      <w:r w:rsidRPr="00DE39B5">
        <w:rPr>
          <w:i/>
          <w:iCs/>
          <w:lang w:val="en-GB"/>
        </w:rPr>
        <w:lastRenderedPageBreak/>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DE39B5" w:rsidRDefault="001B7CA2" w:rsidP="00B2202D">
      <w:pPr>
        <w:spacing w:line="240" w:lineRule="auto"/>
        <w:jc w:val="both"/>
        <w:rPr>
          <w:lang w:val="en-GB"/>
        </w:rPr>
      </w:pPr>
      <w:r w:rsidRPr="00DE39B5">
        <w:rPr>
          <w:i/>
          <w:iCs/>
          <w:lang w:val="en-GB"/>
        </w:rPr>
        <w:t xml:space="preserve">28. Potential obstacles to investigation and prosecution of high-level and complex corruption cases (e.g. political immunity regulation) </w:t>
      </w:r>
    </w:p>
    <w:p w14:paraId="39488B03" w14:textId="77777777" w:rsidR="001B7CA2" w:rsidRPr="00DE39B5" w:rsidRDefault="001B7CA2" w:rsidP="00B2202D">
      <w:pPr>
        <w:spacing w:line="240" w:lineRule="auto"/>
        <w:jc w:val="both"/>
        <w:rPr>
          <w:lang w:val="en-GB"/>
        </w:rPr>
      </w:pPr>
      <w:r w:rsidRPr="00DE39B5">
        <w:rPr>
          <w:b/>
          <w:bCs/>
          <w:i/>
          <w:iCs/>
          <w:lang w:val="en-GB"/>
        </w:rPr>
        <w:t xml:space="preserve">Other – please specify </w:t>
      </w:r>
    </w:p>
    <w:p w14:paraId="2F09CC61" w14:textId="77777777" w:rsidR="001B7CA2" w:rsidRPr="00DE39B5" w:rsidRDefault="001B7CA2" w:rsidP="00B2202D">
      <w:pPr>
        <w:spacing w:line="240" w:lineRule="auto"/>
        <w:jc w:val="both"/>
        <w:rPr>
          <w:lang w:val="en-GB"/>
        </w:rPr>
      </w:pPr>
      <w:r w:rsidRPr="00DE39B5">
        <w:rPr>
          <w:b/>
          <w:bCs/>
          <w:lang w:val="en-GB"/>
        </w:rPr>
        <w:t xml:space="preserve">III. Media pluralism </w:t>
      </w:r>
    </w:p>
    <w:p w14:paraId="25F27A5C" w14:textId="77777777" w:rsidR="001B7CA2" w:rsidRPr="00DE39B5" w:rsidRDefault="001B7CA2" w:rsidP="00B2202D">
      <w:pPr>
        <w:spacing w:line="240" w:lineRule="auto"/>
        <w:jc w:val="both"/>
        <w:rPr>
          <w:lang w:val="en-GB"/>
        </w:rPr>
      </w:pPr>
      <w:r w:rsidRPr="00DE39B5">
        <w:rPr>
          <w:b/>
          <w:bCs/>
          <w:i/>
          <w:iCs/>
          <w:lang w:val="en-GB"/>
        </w:rPr>
        <w:t xml:space="preserve">A. Media authorities and bodies </w:t>
      </w:r>
    </w:p>
    <w:p w14:paraId="624CDC15" w14:textId="77777777" w:rsidR="001B7CA2" w:rsidRPr="00DE39B5" w:rsidRDefault="001B7CA2" w:rsidP="00B2202D">
      <w:pPr>
        <w:spacing w:line="240" w:lineRule="auto"/>
        <w:jc w:val="both"/>
        <w:rPr>
          <w:lang w:val="en-GB"/>
        </w:rPr>
      </w:pPr>
      <w:r w:rsidRPr="00DE39B5">
        <w:rPr>
          <w:i/>
          <w:iCs/>
          <w:lang w:val="en-GB"/>
        </w:rPr>
        <w:t xml:space="preserve">29. Independence, enforcement powers and adequacy of resources of media regulatory authorities and bodies </w:t>
      </w:r>
    </w:p>
    <w:p w14:paraId="39A40877" w14:textId="77777777" w:rsidR="001B7CA2" w:rsidRPr="00DE39B5" w:rsidRDefault="001B7CA2" w:rsidP="00B2202D">
      <w:pPr>
        <w:spacing w:line="240" w:lineRule="auto"/>
        <w:jc w:val="both"/>
        <w:rPr>
          <w:lang w:val="en-GB"/>
        </w:rPr>
      </w:pPr>
      <w:r w:rsidRPr="00DE39B5">
        <w:rPr>
          <w:i/>
          <w:iCs/>
          <w:lang w:val="en-GB"/>
        </w:rPr>
        <w:t xml:space="preserve">30. Conditions and procedures for the appointment and dismissal of the head / members of the collegiate body of media regulatory authorities and bodies </w:t>
      </w:r>
    </w:p>
    <w:p w14:paraId="64E59A37" w14:textId="77777777" w:rsidR="001B7CA2" w:rsidRPr="00DE39B5" w:rsidRDefault="001B7CA2" w:rsidP="00B2202D">
      <w:pPr>
        <w:spacing w:line="240" w:lineRule="auto"/>
        <w:jc w:val="both"/>
        <w:rPr>
          <w:lang w:val="en-GB"/>
        </w:rPr>
      </w:pPr>
      <w:r w:rsidRPr="00DE39B5">
        <w:rPr>
          <w:i/>
          <w:iCs/>
          <w:lang w:val="en-GB"/>
        </w:rPr>
        <w:t xml:space="preserve">31. Existence and functions of media councils or other self-regulatory bodies </w:t>
      </w:r>
    </w:p>
    <w:p w14:paraId="575A19C7" w14:textId="77777777" w:rsidR="001B7CA2" w:rsidRPr="00DE39B5" w:rsidRDefault="001B7CA2" w:rsidP="00B2202D">
      <w:pPr>
        <w:spacing w:line="240" w:lineRule="auto"/>
        <w:jc w:val="both"/>
        <w:rPr>
          <w:lang w:val="en-GB"/>
        </w:rPr>
      </w:pPr>
      <w:r w:rsidRPr="00DE39B5">
        <w:rPr>
          <w:b/>
          <w:bCs/>
          <w:i/>
          <w:iCs/>
          <w:lang w:val="en-GB"/>
        </w:rPr>
        <w:t xml:space="preserve">B. Transparency of media ownership and government interference </w:t>
      </w:r>
    </w:p>
    <w:p w14:paraId="369BD36A" w14:textId="77777777" w:rsidR="001B7CA2" w:rsidRPr="00DE39B5" w:rsidRDefault="001B7CA2" w:rsidP="00B2202D">
      <w:pPr>
        <w:spacing w:line="240" w:lineRule="auto"/>
        <w:jc w:val="both"/>
        <w:rPr>
          <w:lang w:val="en-GB"/>
        </w:rPr>
      </w:pPr>
      <w:r w:rsidRPr="00DE39B5">
        <w:rPr>
          <w:i/>
          <w:iCs/>
          <w:lang w:val="en-GB"/>
        </w:rPr>
        <w:t xml:space="preserve">32. The transparent allocation of state advertising (including any rules regulating the matter); other safeguards against state / political interference </w:t>
      </w:r>
    </w:p>
    <w:p w14:paraId="130A6779" w14:textId="77777777" w:rsidR="001B7CA2" w:rsidRPr="00DE39B5" w:rsidRDefault="001B7CA2" w:rsidP="00B2202D">
      <w:pPr>
        <w:spacing w:line="240" w:lineRule="auto"/>
        <w:jc w:val="both"/>
        <w:rPr>
          <w:lang w:val="en-GB"/>
        </w:rPr>
      </w:pPr>
      <w:r w:rsidRPr="00DE39B5">
        <w:rPr>
          <w:i/>
          <w:iCs/>
          <w:lang w:val="en-GB"/>
        </w:rPr>
        <w:t xml:space="preserve">33. Rules governing transparency of media ownership and public availability of media ownership information </w:t>
      </w:r>
    </w:p>
    <w:p w14:paraId="113037E5" w14:textId="77777777" w:rsidR="001B7CA2" w:rsidRPr="00DE39B5" w:rsidRDefault="001B7CA2" w:rsidP="00B2202D">
      <w:pPr>
        <w:spacing w:line="240" w:lineRule="auto"/>
        <w:jc w:val="both"/>
        <w:rPr>
          <w:lang w:val="en-GB"/>
        </w:rPr>
      </w:pPr>
      <w:r w:rsidRPr="00DE39B5">
        <w:rPr>
          <w:b/>
          <w:bCs/>
          <w:i/>
          <w:iCs/>
          <w:lang w:val="en-GB"/>
        </w:rPr>
        <w:t xml:space="preserve">C. Framework for journalists' protection </w:t>
      </w:r>
    </w:p>
    <w:p w14:paraId="01DD02BE" w14:textId="77777777" w:rsidR="001B7CA2" w:rsidRPr="00DE39B5" w:rsidRDefault="001B7CA2" w:rsidP="00B2202D">
      <w:pPr>
        <w:spacing w:line="240" w:lineRule="auto"/>
        <w:jc w:val="both"/>
        <w:rPr>
          <w:lang w:val="en-GB"/>
        </w:rPr>
      </w:pPr>
      <w:r w:rsidRPr="00DE39B5">
        <w:rPr>
          <w:i/>
          <w:iCs/>
          <w:lang w:val="en-GB"/>
        </w:rPr>
        <w:t xml:space="preserve">34. Rules and practices guaranteeing journalist's independence and safety </w:t>
      </w:r>
    </w:p>
    <w:p w14:paraId="16BEEF7E" w14:textId="77777777" w:rsidR="001B7CA2" w:rsidRPr="00DE39B5" w:rsidRDefault="001B7CA2" w:rsidP="00B2202D">
      <w:pPr>
        <w:spacing w:line="240" w:lineRule="auto"/>
        <w:jc w:val="both"/>
        <w:rPr>
          <w:lang w:val="en-GB"/>
        </w:rPr>
      </w:pPr>
      <w:r w:rsidRPr="00DE39B5">
        <w:rPr>
          <w:i/>
          <w:iCs/>
          <w:lang w:val="en-GB"/>
        </w:rPr>
        <w:t xml:space="preserve">35. Law enforcement capacity to ensure journalists' safety and to investigate attacks on journalists </w:t>
      </w:r>
    </w:p>
    <w:p w14:paraId="35F67EA8" w14:textId="77777777" w:rsidR="001B7CA2" w:rsidRPr="00DE39B5" w:rsidRDefault="001B7CA2" w:rsidP="00B2202D">
      <w:pPr>
        <w:spacing w:line="240" w:lineRule="auto"/>
        <w:jc w:val="both"/>
        <w:rPr>
          <w:lang w:val="en-GB"/>
        </w:rPr>
      </w:pPr>
      <w:r w:rsidRPr="00DE39B5">
        <w:rPr>
          <w:i/>
          <w:iCs/>
          <w:lang w:val="en-GB"/>
        </w:rPr>
        <w:t xml:space="preserve">36. Access to information and public documents </w:t>
      </w:r>
    </w:p>
    <w:p w14:paraId="4C65C142" w14:textId="77777777" w:rsidR="001B7CA2" w:rsidRPr="00DE39B5" w:rsidRDefault="001B7CA2" w:rsidP="00B2202D">
      <w:pPr>
        <w:spacing w:line="240" w:lineRule="auto"/>
        <w:jc w:val="both"/>
        <w:rPr>
          <w:lang w:val="en-GB"/>
        </w:rPr>
      </w:pPr>
      <w:r w:rsidRPr="00DE39B5">
        <w:rPr>
          <w:i/>
          <w:iCs/>
          <w:lang w:val="en-GB"/>
        </w:rPr>
        <w:t xml:space="preserve">37. Lawsuits and convictions against journalists (incl. defamation cases) and safeguards against abuse </w:t>
      </w:r>
    </w:p>
    <w:p w14:paraId="76B3CCBA" w14:textId="77777777" w:rsidR="001B7CA2" w:rsidRPr="00DE39B5" w:rsidRDefault="001B7CA2" w:rsidP="00B2202D">
      <w:pPr>
        <w:spacing w:line="240" w:lineRule="auto"/>
        <w:jc w:val="both"/>
        <w:rPr>
          <w:lang w:val="en-GB"/>
        </w:rPr>
      </w:pPr>
      <w:r w:rsidRPr="00DE39B5">
        <w:rPr>
          <w:b/>
          <w:bCs/>
          <w:i/>
          <w:iCs/>
          <w:lang w:val="en-GB"/>
        </w:rPr>
        <w:t xml:space="preserve">Other – please specify </w:t>
      </w:r>
    </w:p>
    <w:p w14:paraId="6AC1EDE9" w14:textId="77777777" w:rsidR="001B7CA2" w:rsidRPr="00DE39B5" w:rsidRDefault="001B7CA2" w:rsidP="00B2202D">
      <w:pPr>
        <w:spacing w:line="240" w:lineRule="auto"/>
        <w:jc w:val="both"/>
        <w:rPr>
          <w:lang w:val="en-GB"/>
        </w:rPr>
      </w:pPr>
      <w:r w:rsidRPr="00DE39B5">
        <w:rPr>
          <w:b/>
          <w:bCs/>
          <w:lang w:val="en-GB"/>
        </w:rPr>
        <w:t xml:space="preserve">IV. Other institutional issues related to checks and balances </w:t>
      </w:r>
    </w:p>
    <w:p w14:paraId="2CD0E4AE" w14:textId="77777777" w:rsidR="001B7CA2" w:rsidRPr="00DE39B5" w:rsidRDefault="001B7CA2" w:rsidP="00B2202D">
      <w:pPr>
        <w:spacing w:line="240" w:lineRule="auto"/>
        <w:jc w:val="both"/>
        <w:rPr>
          <w:lang w:val="en-GB"/>
        </w:rPr>
      </w:pPr>
      <w:r w:rsidRPr="00DE39B5">
        <w:rPr>
          <w:b/>
          <w:bCs/>
          <w:i/>
          <w:iCs/>
          <w:lang w:val="en-GB"/>
        </w:rPr>
        <w:t xml:space="preserve">A. The process for preparing and enacting laws </w:t>
      </w:r>
    </w:p>
    <w:p w14:paraId="64E1A34D" w14:textId="77FE2E7A" w:rsidR="001B7CA2" w:rsidRPr="00DE39B5" w:rsidRDefault="001B7CA2" w:rsidP="00B2202D">
      <w:pPr>
        <w:spacing w:line="240" w:lineRule="auto"/>
        <w:jc w:val="both"/>
        <w:rPr>
          <w:i/>
          <w:iCs/>
          <w:lang w:val="en-GB"/>
        </w:rPr>
      </w:pPr>
      <w:r w:rsidRPr="00DE39B5">
        <w:rPr>
          <w:i/>
          <w:iCs/>
          <w:lang w:val="en-GB"/>
        </w:rPr>
        <w:t xml:space="preserve">38. Framework, policy and use of impact assessments, stakeholders'/public consultations (particularly consultation of judiciary on judicial reforms), and transparency and quality of the legislative process </w:t>
      </w:r>
    </w:p>
    <w:p w14:paraId="3BC846F1" w14:textId="40E3FE47" w:rsidR="002B407D" w:rsidRPr="00DE39B5" w:rsidRDefault="002B407D" w:rsidP="00B2202D">
      <w:pPr>
        <w:spacing w:line="240" w:lineRule="auto"/>
        <w:jc w:val="both"/>
        <w:rPr>
          <w:lang w:val="en-GB"/>
        </w:rPr>
      </w:pPr>
      <w:r w:rsidRPr="00DE39B5">
        <w:rPr>
          <w:lang w:val="en-GB"/>
        </w:rPr>
        <w:t xml:space="preserve">In its 2020 </w:t>
      </w:r>
      <w:r w:rsidR="000619AF">
        <w:rPr>
          <w:lang w:val="en-GB"/>
        </w:rPr>
        <w:t>co</w:t>
      </w:r>
      <w:r w:rsidRPr="00DE39B5">
        <w:rPr>
          <w:lang w:val="en-GB"/>
        </w:rPr>
        <w:t xml:space="preserve">ncluding observations, the UN Committee on the Rights of the Child </w:t>
      </w:r>
      <w:r w:rsidR="00EF39A5" w:rsidRPr="00DE39B5">
        <w:rPr>
          <w:lang w:val="en-GB"/>
        </w:rPr>
        <w:t xml:space="preserve">noted the </w:t>
      </w:r>
      <w:r w:rsidR="000619AF">
        <w:rPr>
          <w:lang w:val="en-GB"/>
        </w:rPr>
        <w:t xml:space="preserve">2013 </w:t>
      </w:r>
      <w:r w:rsidR="00EF39A5" w:rsidRPr="00DE39B5">
        <w:rPr>
          <w:lang w:val="en-GB"/>
        </w:rPr>
        <w:t xml:space="preserve">amendment to section 138 of the Austrian Civil Code, in particular the inclusion of a twelve-point checklist with statutory criteria for safeguarding the best interests of the child, and the establishment of a monitoring board. </w:t>
      </w:r>
      <w:proofErr w:type="gramStart"/>
      <w:r w:rsidR="00EF39A5" w:rsidRPr="00DE39B5">
        <w:rPr>
          <w:lang w:val="en-GB"/>
        </w:rPr>
        <w:t>The Committee urged Austria to carry out impact assessments of proposed laws in a consistent manner in all legislative processes, and to establish compulsory processes for ex ante and ex post impact assessments of all laws and policies relevant to children on the realization of the right of the child to have his or her best interests ta</w:t>
      </w:r>
      <w:r w:rsidR="005D15AD">
        <w:rPr>
          <w:lang w:val="en-GB"/>
        </w:rPr>
        <w:t xml:space="preserve">ken as a primary consideration </w:t>
      </w:r>
      <w:r w:rsidRPr="00DE39B5">
        <w:rPr>
          <w:lang w:val="en-GB"/>
        </w:rPr>
        <w:t xml:space="preserve"> </w:t>
      </w:r>
      <w:r w:rsidR="005D15AD">
        <w:rPr>
          <w:lang w:val="en-GB"/>
        </w:rPr>
        <w:t>(</w:t>
      </w:r>
      <w:hyperlink r:id="rId12" w:history="1">
        <w:r w:rsidRPr="00DE39B5">
          <w:rPr>
            <w:rStyle w:val="Hyperlink"/>
            <w:lang w:val="en-GB"/>
          </w:rPr>
          <w:t>CRC/C/AUT/CO/5-6</w:t>
        </w:r>
      </w:hyperlink>
      <w:r w:rsidRPr="00DE39B5">
        <w:rPr>
          <w:lang w:val="en-GB"/>
        </w:rPr>
        <w:t>, para 18).</w:t>
      </w:r>
      <w:proofErr w:type="gramEnd"/>
    </w:p>
    <w:p w14:paraId="0F36D942" w14:textId="2F99FE3F" w:rsidR="00EF4DF8" w:rsidRDefault="001B7CA2" w:rsidP="00B2202D">
      <w:pPr>
        <w:spacing w:line="240" w:lineRule="auto"/>
        <w:jc w:val="both"/>
        <w:rPr>
          <w:i/>
          <w:iCs/>
          <w:lang w:val="en-GB"/>
        </w:rPr>
      </w:pPr>
      <w:r w:rsidRPr="00DE39B5">
        <w:rPr>
          <w:i/>
          <w:iCs/>
          <w:lang w:val="en-GB"/>
        </w:rPr>
        <w:t xml:space="preserve">39. Rules and use of fast-track procedures and emergency procedures (for example, the percentage of decisions adopted through emergency/urgent procedure compared to the total number of adopted decisions) </w:t>
      </w:r>
    </w:p>
    <w:p w14:paraId="627A0C0D" w14:textId="166EE995" w:rsidR="006C6EF5" w:rsidRDefault="006C6EF5" w:rsidP="00B2202D">
      <w:pPr>
        <w:spacing w:line="240" w:lineRule="auto"/>
        <w:jc w:val="both"/>
        <w:rPr>
          <w:lang w:val="en-GB"/>
        </w:rPr>
      </w:pPr>
      <w:r w:rsidRPr="00DE39B5">
        <w:rPr>
          <w:lang w:val="en-GB"/>
        </w:rPr>
        <w:lastRenderedPageBreak/>
        <w:t xml:space="preserve">In its 2018 </w:t>
      </w:r>
      <w:r w:rsidR="000619AF">
        <w:rPr>
          <w:lang w:val="en-GB"/>
        </w:rPr>
        <w:t>c</w:t>
      </w:r>
      <w:r w:rsidRPr="00DE39B5">
        <w:rPr>
          <w:lang w:val="en-GB"/>
        </w:rPr>
        <w:t xml:space="preserve">oncluding observations, the </w:t>
      </w:r>
      <w:r w:rsidR="00E240FD">
        <w:rPr>
          <w:lang w:val="en-GB"/>
        </w:rPr>
        <w:t xml:space="preserve">UN </w:t>
      </w:r>
      <w:r w:rsidRPr="00DE39B5">
        <w:rPr>
          <w:lang w:val="en-GB"/>
        </w:rPr>
        <w:t>Committee on Enforced Disappearances</w:t>
      </w:r>
      <w:r>
        <w:rPr>
          <w:lang w:val="en-GB"/>
        </w:rPr>
        <w:t xml:space="preserve"> noted with appreciation that the Constitution provided layers of procedural guarantees regarding the invoking of emergency measures, and that the State party has never resorted to such emergency measures. However, the Committee was concerned that domestic law did not specifically provide for the non-</w:t>
      </w:r>
      <w:proofErr w:type="spellStart"/>
      <w:r>
        <w:rPr>
          <w:lang w:val="en-GB"/>
        </w:rPr>
        <w:t>derogability</w:t>
      </w:r>
      <w:proofErr w:type="spellEnd"/>
      <w:r>
        <w:rPr>
          <w:lang w:val="en-GB"/>
        </w:rPr>
        <w:t xml:space="preserve"> of the prohibition of enforced disappearance under any exceptional circumstances. Therefore, the Committee recommended </w:t>
      </w:r>
      <w:r w:rsidR="006B1DC5">
        <w:rPr>
          <w:lang w:val="en-GB"/>
        </w:rPr>
        <w:t>that Austria considers taking legislative measures to specifically incorporate into domestic law the non-</w:t>
      </w:r>
      <w:proofErr w:type="spellStart"/>
      <w:r w:rsidR="006B1DC5">
        <w:rPr>
          <w:lang w:val="en-GB"/>
        </w:rPr>
        <w:t>derogability</w:t>
      </w:r>
      <w:proofErr w:type="spellEnd"/>
      <w:r w:rsidR="006B1DC5">
        <w:rPr>
          <w:lang w:val="en-GB"/>
        </w:rPr>
        <w:t xml:space="preserve"> of the prohibition of enforced disappearance, in line with article 1 (2) of the Convention</w:t>
      </w:r>
      <w:r w:rsidR="000619AF">
        <w:rPr>
          <w:lang w:val="en-GB"/>
        </w:rPr>
        <w:t xml:space="preserve"> </w:t>
      </w:r>
      <w:r w:rsidR="000619AF" w:rsidRPr="000619AF">
        <w:rPr>
          <w:lang w:val="en-GB"/>
        </w:rPr>
        <w:t>for the Protection of All Persons from Enforced Disappearance</w:t>
      </w:r>
      <w:r w:rsidR="005D15AD">
        <w:rPr>
          <w:lang w:val="en-GB"/>
        </w:rPr>
        <w:t xml:space="preserve"> (</w:t>
      </w:r>
      <w:hyperlink r:id="rId13" w:history="1">
        <w:r w:rsidR="006B1DC5" w:rsidRPr="00DE39B5">
          <w:rPr>
            <w:rStyle w:val="Hyperlink"/>
            <w:lang w:val="en-GB"/>
          </w:rPr>
          <w:t>CED/C/AUT/CO/1</w:t>
        </w:r>
      </w:hyperlink>
      <w:r w:rsidR="006B1DC5" w:rsidRPr="00DE39B5">
        <w:rPr>
          <w:lang w:val="en-GB"/>
        </w:rPr>
        <w:t xml:space="preserve">, para </w:t>
      </w:r>
      <w:r w:rsidR="006B1DC5">
        <w:rPr>
          <w:lang w:val="en-GB"/>
        </w:rPr>
        <w:t>10, 11</w:t>
      </w:r>
      <w:r w:rsidR="006B1DC5" w:rsidRPr="00DE39B5">
        <w:rPr>
          <w:lang w:val="en-GB"/>
        </w:rPr>
        <w:t>).</w:t>
      </w:r>
    </w:p>
    <w:p w14:paraId="047EF7C3" w14:textId="1F34D3C0" w:rsidR="00E240FD" w:rsidRDefault="006D49CF" w:rsidP="00B2202D">
      <w:pPr>
        <w:spacing w:line="240" w:lineRule="auto"/>
        <w:jc w:val="both"/>
        <w:rPr>
          <w:lang w:val="en-GB"/>
        </w:rPr>
      </w:pPr>
      <w:r>
        <w:rPr>
          <w:lang w:val="en-GB"/>
        </w:rPr>
        <w:t>T</w:t>
      </w:r>
      <w:r w:rsidR="00E240FD">
        <w:rPr>
          <w:lang w:val="en-GB"/>
        </w:rPr>
        <w:t xml:space="preserve">he Committee </w:t>
      </w:r>
      <w:r>
        <w:rPr>
          <w:lang w:val="en-GB"/>
        </w:rPr>
        <w:t xml:space="preserve">also </w:t>
      </w:r>
      <w:r w:rsidR="00E240FD">
        <w:rPr>
          <w:lang w:val="en-GB"/>
        </w:rPr>
        <w:t>expressed concern that the Federal Government was authorized to adopt an emergency decree in the case of an influx of asylum seekers and that, as a result, special procedures, such as a fast-track asylum procedure at the borders, may be introduced in order to maintain public order. It recommended Austria to ensure the principle of non-</w:t>
      </w:r>
      <w:proofErr w:type="spellStart"/>
      <w:r w:rsidR="00E240FD">
        <w:rPr>
          <w:lang w:val="en-GB"/>
        </w:rPr>
        <w:t>refoulement</w:t>
      </w:r>
      <w:proofErr w:type="spellEnd"/>
      <w:r w:rsidR="00E240FD">
        <w:rPr>
          <w:lang w:val="en-GB"/>
        </w:rPr>
        <w:t xml:space="preserve"> and to consider incorporating into its national legislation a prohibition on carrying out an expulsion, return, surrender or extradition where there are substantial grounds for believing that the person would be in danger of being subje</w:t>
      </w:r>
      <w:r w:rsidR="005D15AD">
        <w:rPr>
          <w:lang w:val="en-GB"/>
        </w:rPr>
        <w:t>cted to enforced disappearance (</w:t>
      </w:r>
      <w:hyperlink r:id="rId14" w:history="1">
        <w:r w:rsidR="00E240FD" w:rsidRPr="00DE39B5">
          <w:rPr>
            <w:rStyle w:val="Hyperlink"/>
            <w:lang w:val="en-GB"/>
          </w:rPr>
          <w:t>CED/C/AUT/CO/1</w:t>
        </w:r>
      </w:hyperlink>
      <w:r w:rsidR="00E240FD" w:rsidRPr="00DE39B5">
        <w:rPr>
          <w:lang w:val="en-GB"/>
        </w:rPr>
        <w:t xml:space="preserve">, para </w:t>
      </w:r>
      <w:r w:rsidR="00E240FD">
        <w:rPr>
          <w:lang w:val="en-GB"/>
        </w:rPr>
        <w:t>20, 21</w:t>
      </w:r>
      <w:r w:rsidR="00E240FD" w:rsidRPr="00DE39B5">
        <w:rPr>
          <w:lang w:val="en-GB"/>
        </w:rPr>
        <w:t>).</w:t>
      </w:r>
    </w:p>
    <w:p w14:paraId="529FAD71" w14:textId="77777777" w:rsidR="001B7CA2" w:rsidRPr="00DE39B5" w:rsidRDefault="001B7CA2" w:rsidP="00B2202D">
      <w:pPr>
        <w:spacing w:line="240" w:lineRule="auto"/>
        <w:jc w:val="both"/>
        <w:rPr>
          <w:lang w:val="en-GB"/>
        </w:rPr>
      </w:pPr>
      <w:r w:rsidRPr="00DE39B5">
        <w:rPr>
          <w:i/>
          <w:iCs/>
          <w:lang w:val="en-GB"/>
        </w:rPr>
        <w:t xml:space="preserve">40. Regime for constitutional review of laws </w:t>
      </w:r>
    </w:p>
    <w:p w14:paraId="52CD9F57" w14:textId="77777777" w:rsidR="001B7CA2" w:rsidRPr="00DE39B5" w:rsidRDefault="001B7CA2" w:rsidP="00B2202D">
      <w:pPr>
        <w:spacing w:line="240" w:lineRule="auto"/>
        <w:jc w:val="both"/>
        <w:rPr>
          <w:lang w:val="en-GB"/>
        </w:rPr>
      </w:pPr>
      <w:r w:rsidRPr="00DE39B5">
        <w:rPr>
          <w:i/>
          <w:iCs/>
          <w:lang w:val="en-GB"/>
        </w:rPr>
        <w:t xml:space="preserve">41. COVID-19: provide update on significant developments with regard to emergency regimes in the context of the COVID-19 pandemic </w:t>
      </w:r>
    </w:p>
    <w:p w14:paraId="3566BDE6" w14:textId="77777777" w:rsidR="001B7CA2" w:rsidRPr="00DE39B5" w:rsidRDefault="001B7CA2" w:rsidP="00B2202D">
      <w:pPr>
        <w:spacing w:line="240" w:lineRule="auto"/>
        <w:jc w:val="both"/>
        <w:rPr>
          <w:lang w:val="en-GB"/>
        </w:rPr>
      </w:pPr>
      <w:r w:rsidRPr="00DE39B5">
        <w:rPr>
          <w:lang w:val="en-GB"/>
        </w:rPr>
        <w:t xml:space="preserve">- </w:t>
      </w:r>
      <w:proofErr w:type="gramStart"/>
      <w:r w:rsidRPr="00DE39B5">
        <w:rPr>
          <w:i/>
          <w:iCs/>
          <w:lang w:val="en-GB"/>
        </w:rPr>
        <w:t>judicial</w:t>
      </w:r>
      <w:proofErr w:type="gramEnd"/>
      <w:r w:rsidRPr="00DE39B5">
        <w:rPr>
          <w:i/>
          <w:iCs/>
          <w:lang w:val="en-GB"/>
        </w:rPr>
        <w:t xml:space="preserve"> review (including constitutional review) of emergency regimes and measures in the context of COVID-19 pandemic </w:t>
      </w:r>
    </w:p>
    <w:p w14:paraId="418FEC9B" w14:textId="77777777" w:rsidR="001B7CA2" w:rsidRPr="00DE39B5" w:rsidRDefault="001B7CA2" w:rsidP="00B2202D">
      <w:pPr>
        <w:spacing w:line="240" w:lineRule="auto"/>
        <w:jc w:val="both"/>
        <w:rPr>
          <w:lang w:val="en-GB"/>
        </w:rPr>
      </w:pPr>
      <w:r w:rsidRPr="00DE39B5">
        <w:rPr>
          <w:lang w:val="en-GB"/>
        </w:rPr>
        <w:t xml:space="preserve">- </w:t>
      </w:r>
      <w:proofErr w:type="gramStart"/>
      <w:r w:rsidRPr="00DE39B5">
        <w:rPr>
          <w:i/>
          <w:iCs/>
          <w:lang w:val="en-GB"/>
        </w:rPr>
        <w:t>oversight</w:t>
      </w:r>
      <w:proofErr w:type="gramEnd"/>
      <w:r w:rsidRPr="00DE39B5">
        <w:rPr>
          <w:i/>
          <w:iCs/>
          <w:lang w:val="en-GB"/>
        </w:rPr>
        <w:t xml:space="preserve"> by Parliament of emergency regimes and measures in the context of COVID-19 pandemic </w:t>
      </w:r>
    </w:p>
    <w:p w14:paraId="4974DE29" w14:textId="77777777" w:rsidR="001B7CA2" w:rsidRPr="00DE39B5" w:rsidRDefault="001B7CA2" w:rsidP="00B2202D">
      <w:pPr>
        <w:spacing w:line="240" w:lineRule="auto"/>
        <w:jc w:val="both"/>
        <w:rPr>
          <w:lang w:val="en-GB"/>
        </w:rPr>
      </w:pPr>
      <w:r w:rsidRPr="00DE39B5">
        <w:rPr>
          <w:lang w:val="en-GB"/>
        </w:rPr>
        <w:t xml:space="preserve">- </w:t>
      </w:r>
      <w:proofErr w:type="gramStart"/>
      <w:r w:rsidRPr="00DE39B5">
        <w:rPr>
          <w:i/>
          <w:iCs/>
          <w:lang w:val="en-GB"/>
        </w:rPr>
        <w:t>measures</w:t>
      </w:r>
      <w:proofErr w:type="gramEnd"/>
      <w:r w:rsidRPr="00DE39B5">
        <w:rPr>
          <w:i/>
          <w:iCs/>
          <w:lang w:val="en-GB"/>
        </w:rPr>
        <w:t xml:space="preserve"> taken to ensure the continued activity of Parliament (including possible best practices) </w:t>
      </w:r>
    </w:p>
    <w:p w14:paraId="237B9B4B" w14:textId="77777777" w:rsidR="001B7CA2" w:rsidRPr="00DE39B5" w:rsidRDefault="001B7CA2" w:rsidP="00B2202D">
      <w:pPr>
        <w:spacing w:line="240" w:lineRule="auto"/>
        <w:jc w:val="both"/>
        <w:rPr>
          <w:lang w:val="en-GB"/>
        </w:rPr>
      </w:pPr>
      <w:r w:rsidRPr="00DE39B5">
        <w:rPr>
          <w:b/>
          <w:bCs/>
          <w:i/>
          <w:iCs/>
          <w:lang w:val="en-GB"/>
        </w:rPr>
        <w:t xml:space="preserve">B. Independent authorities </w:t>
      </w:r>
    </w:p>
    <w:p w14:paraId="25D40A66" w14:textId="33AC4785" w:rsidR="001B7CA2" w:rsidRPr="00DE39B5" w:rsidRDefault="001B7CA2" w:rsidP="00B2202D">
      <w:pPr>
        <w:spacing w:line="240" w:lineRule="auto"/>
        <w:jc w:val="both"/>
        <w:rPr>
          <w:i/>
          <w:iCs/>
          <w:lang w:val="en-GB"/>
        </w:rPr>
      </w:pPr>
      <w:r w:rsidRPr="00DE39B5">
        <w:rPr>
          <w:i/>
          <w:iCs/>
          <w:lang w:val="en-GB"/>
        </w:rPr>
        <w:t>42. Independence, capacity and powers of national human rights institutions (‘NHRIs’), of ombudsman institutions if different from NHRIs, of equality bodies if different from NHRIs and of supreme audit institutions</w:t>
      </w:r>
    </w:p>
    <w:p w14:paraId="05B72C0D" w14:textId="082CC8AC" w:rsidR="0012128E" w:rsidRDefault="00BB26FB" w:rsidP="00B2202D">
      <w:pPr>
        <w:spacing w:line="240" w:lineRule="auto"/>
        <w:jc w:val="both"/>
        <w:rPr>
          <w:lang w:val="en-GB"/>
        </w:rPr>
      </w:pPr>
      <w:r w:rsidRPr="00DE39B5">
        <w:rPr>
          <w:lang w:val="en-GB"/>
        </w:rPr>
        <w:t xml:space="preserve">In its 2020 </w:t>
      </w:r>
      <w:r w:rsidR="000619AF">
        <w:rPr>
          <w:lang w:val="en-GB"/>
        </w:rPr>
        <w:t>c</w:t>
      </w:r>
      <w:r w:rsidRPr="00DE39B5">
        <w:rPr>
          <w:lang w:val="en-GB"/>
        </w:rPr>
        <w:t xml:space="preserve">oncluding </w:t>
      </w:r>
      <w:r w:rsidR="002B407D" w:rsidRPr="00DE39B5">
        <w:rPr>
          <w:lang w:val="en-GB"/>
        </w:rPr>
        <w:t>o</w:t>
      </w:r>
      <w:r w:rsidRPr="00DE39B5">
        <w:rPr>
          <w:lang w:val="en-GB"/>
        </w:rPr>
        <w:t xml:space="preserve">bservations, the UN Committee on the Rights of the Child welcomed measures introduced to strengthen the national human rights institution. It noted however that the Austrian Ombudsman Board </w:t>
      </w:r>
      <w:r w:rsidR="000619AF">
        <w:rPr>
          <w:lang w:val="en-GB"/>
        </w:rPr>
        <w:t>does</w:t>
      </w:r>
      <w:r w:rsidR="000619AF" w:rsidRPr="00DE39B5">
        <w:rPr>
          <w:lang w:val="en-GB"/>
        </w:rPr>
        <w:t xml:space="preserve"> </w:t>
      </w:r>
      <w:r w:rsidRPr="00DE39B5">
        <w:rPr>
          <w:lang w:val="en-GB"/>
        </w:rPr>
        <w:t xml:space="preserve">not have a specific mandate relating to children’s rights. The Committee </w:t>
      </w:r>
      <w:r w:rsidR="00C924D7">
        <w:rPr>
          <w:lang w:val="en-GB"/>
        </w:rPr>
        <w:t xml:space="preserve">further </w:t>
      </w:r>
      <w:r w:rsidRPr="00DE39B5">
        <w:rPr>
          <w:lang w:val="en-GB"/>
        </w:rPr>
        <w:t xml:space="preserve">recommended Austria to take measures to ensure full compliance with the Paris </w:t>
      </w:r>
      <w:proofErr w:type="gramStart"/>
      <w:r w:rsidRPr="00DE39B5">
        <w:rPr>
          <w:lang w:val="en-GB"/>
        </w:rPr>
        <w:t>Principles</w:t>
      </w:r>
      <w:r w:rsidR="005D15AD">
        <w:rPr>
          <w:lang w:val="en-GB"/>
        </w:rPr>
        <w:t xml:space="preserve">  (</w:t>
      </w:r>
      <w:proofErr w:type="gramEnd"/>
      <w:r w:rsidR="00085293">
        <w:fldChar w:fldCharType="begin"/>
      </w:r>
      <w:r w:rsidR="00085293">
        <w:instrText xml:space="preserve"> HYPERLINK "https://docstore.ohchr.org/SelfServices/FilesHandler.ashx?enc=6QkG1d%2fPPRiCAqhK</w:instrText>
      </w:r>
      <w:r w:rsidR="00085293">
        <w:instrText xml:space="preserve">b7yhsvkrHee8tArE5cEO48WRQ1gVMWjPAohzJdodkn0%2bhzkT3o0ypXMuZuHcJ2JrCvBAfWT2gxG4CnKP3OYI7GQNgUlNTid242NuiqJ%2boqBOlISF" </w:instrText>
      </w:r>
      <w:r w:rsidR="00085293">
        <w:fldChar w:fldCharType="separate"/>
      </w:r>
      <w:r w:rsidRPr="00DE39B5">
        <w:rPr>
          <w:rStyle w:val="Hyperlink"/>
          <w:lang w:val="en-GB"/>
        </w:rPr>
        <w:t>CRC/C/AUT/CO/5-6</w:t>
      </w:r>
      <w:r w:rsidR="00085293">
        <w:rPr>
          <w:rStyle w:val="Hyperlink"/>
          <w:lang w:val="en-GB"/>
        </w:rPr>
        <w:fldChar w:fldCharType="end"/>
      </w:r>
      <w:r w:rsidRPr="00DE39B5">
        <w:rPr>
          <w:lang w:val="en-GB"/>
        </w:rPr>
        <w:t xml:space="preserve">, para 12). </w:t>
      </w:r>
    </w:p>
    <w:p w14:paraId="71A19C89" w14:textId="267B136D" w:rsidR="0012128E" w:rsidRPr="00DE39B5" w:rsidRDefault="0012128E" w:rsidP="00C924D7">
      <w:pPr>
        <w:spacing w:line="240" w:lineRule="auto"/>
        <w:jc w:val="both"/>
        <w:rPr>
          <w:lang w:val="en-GB"/>
        </w:rPr>
      </w:pPr>
      <w:proofErr w:type="gramStart"/>
      <w:r>
        <w:rPr>
          <w:lang w:val="en-GB"/>
        </w:rPr>
        <w:t xml:space="preserve">In its 2019 </w:t>
      </w:r>
      <w:r w:rsidR="001A170A">
        <w:rPr>
          <w:lang w:val="en-GB"/>
        </w:rPr>
        <w:t>c</w:t>
      </w:r>
      <w:r>
        <w:rPr>
          <w:lang w:val="en-GB"/>
        </w:rPr>
        <w:t xml:space="preserve">oncluding observations, the </w:t>
      </w:r>
      <w:r w:rsidR="00E240FD">
        <w:rPr>
          <w:lang w:val="en-GB"/>
        </w:rPr>
        <w:t xml:space="preserve">UN </w:t>
      </w:r>
      <w:r>
        <w:rPr>
          <w:lang w:val="en-GB"/>
        </w:rPr>
        <w:t>Committee on the Elimination of Discrimination against Women expressed concern about the appointment of the members of the Austrian Ombudsman Board by the three main political parties in the parliament and that such an appointment process continued to raise issues regarding their independence, as</w:t>
      </w:r>
      <w:r w:rsidRPr="0012128E">
        <w:rPr>
          <w:lang w:val="en-GB"/>
        </w:rPr>
        <w:t xml:space="preserve"> reflected by its accreditation as a B status national human rights institution by the Global Alliance of National Human Rights Institutions</w:t>
      </w:r>
      <w:r>
        <w:rPr>
          <w:lang w:val="en-GB"/>
        </w:rPr>
        <w:t>.</w:t>
      </w:r>
      <w:proofErr w:type="gramEnd"/>
      <w:r>
        <w:rPr>
          <w:lang w:val="en-GB"/>
        </w:rPr>
        <w:t xml:space="preserve"> </w:t>
      </w:r>
      <w:r w:rsidR="00DD020B">
        <w:rPr>
          <w:lang w:val="en-GB"/>
        </w:rPr>
        <w:t xml:space="preserve">(See </w:t>
      </w:r>
      <w:hyperlink r:id="rId15" w:history="1">
        <w:r w:rsidR="00DD020B" w:rsidRPr="0014050F">
          <w:rPr>
            <w:rStyle w:val="Hyperlink"/>
            <w:lang w:val="en-GB"/>
          </w:rPr>
          <w:t>CEDAW/C/AUT/CO/9</w:t>
        </w:r>
      </w:hyperlink>
      <w:r w:rsidR="00DD020B">
        <w:rPr>
          <w:lang w:val="en-GB"/>
        </w:rPr>
        <w:t xml:space="preserve">, para 16, 17). </w:t>
      </w:r>
      <w:r w:rsidR="001A170A">
        <w:rPr>
          <w:lang w:val="en-GB"/>
        </w:rPr>
        <w:t xml:space="preserve">The Committee </w:t>
      </w:r>
      <w:r>
        <w:rPr>
          <w:lang w:val="en-GB"/>
        </w:rPr>
        <w:t xml:space="preserve">recommended Austria to </w:t>
      </w:r>
      <w:r w:rsidRPr="0012128E">
        <w:rPr>
          <w:lang w:val="en-GB"/>
        </w:rPr>
        <w:t xml:space="preserve">ensure an independent appointment process for the members of the Austrian Ombudsman Board, provide it with sufficient human, technical and financial resources to implement its mandate to promote and protect women’s rights and engage with the </w:t>
      </w:r>
      <w:r w:rsidR="001A170A">
        <w:rPr>
          <w:lang w:val="en-GB"/>
        </w:rPr>
        <w:t xml:space="preserve">CEDAW </w:t>
      </w:r>
      <w:r w:rsidRPr="0012128E">
        <w:rPr>
          <w:lang w:val="en-GB"/>
        </w:rPr>
        <w:t>Committee during its reviews of Austria</w:t>
      </w:r>
      <w:r w:rsidR="001A170A">
        <w:rPr>
          <w:lang w:val="en-GB"/>
        </w:rPr>
        <w:t xml:space="preserve">. It also </w:t>
      </w:r>
      <w:r w:rsidRPr="0012128E">
        <w:rPr>
          <w:lang w:val="en-GB"/>
        </w:rPr>
        <w:t>encourage</w:t>
      </w:r>
      <w:r w:rsidR="001A170A">
        <w:rPr>
          <w:lang w:val="en-GB"/>
        </w:rPr>
        <w:t>d Austria</w:t>
      </w:r>
      <w:r w:rsidRPr="0012128E">
        <w:rPr>
          <w:lang w:val="en-GB"/>
        </w:rPr>
        <w:t xml:space="preserve"> to comply and seek accreditation for A status from the Global Alliance of National Human Rights Institution</w:t>
      </w:r>
      <w:r w:rsidR="005D15AD">
        <w:rPr>
          <w:lang w:val="en-GB"/>
        </w:rPr>
        <w:t>s (</w:t>
      </w:r>
      <w:hyperlink r:id="rId16" w:history="1">
        <w:r w:rsidRPr="0014050F">
          <w:rPr>
            <w:rStyle w:val="Hyperlink"/>
            <w:lang w:val="en-GB"/>
          </w:rPr>
          <w:t>CEDAW/C/AUT/CO/9</w:t>
        </w:r>
      </w:hyperlink>
      <w:r>
        <w:rPr>
          <w:lang w:val="en-GB"/>
        </w:rPr>
        <w:t xml:space="preserve">, para 16, 17). </w:t>
      </w:r>
    </w:p>
    <w:p w14:paraId="25634578" w14:textId="506317DE" w:rsidR="00832B97" w:rsidRPr="00DE39B5" w:rsidRDefault="00832B97" w:rsidP="00B2202D">
      <w:pPr>
        <w:spacing w:line="240" w:lineRule="auto"/>
        <w:jc w:val="both"/>
        <w:rPr>
          <w:lang w:val="en-GB"/>
        </w:rPr>
      </w:pPr>
      <w:r w:rsidRPr="00DE39B5">
        <w:rPr>
          <w:lang w:val="en-GB"/>
        </w:rPr>
        <w:t xml:space="preserve">In its 2018 </w:t>
      </w:r>
      <w:r w:rsidR="001A170A">
        <w:rPr>
          <w:lang w:val="en-GB"/>
        </w:rPr>
        <w:t>c</w:t>
      </w:r>
      <w:r w:rsidRPr="00DE39B5">
        <w:rPr>
          <w:lang w:val="en-GB"/>
        </w:rPr>
        <w:t xml:space="preserve">oncluding observations, the </w:t>
      </w:r>
      <w:r w:rsidR="00E240FD">
        <w:rPr>
          <w:lang w:val="en-GB"/>
        </w:rPr>
        <w:t xml:space="preserve">UN </w:t>
      </w:r>
      <w:r w:rsidRPr="00DE39B5">
        <w:rPr>
          <w:lang w:val="en-GB"/>
        </w:rPr>
        <w:t xml:space="preserve">Committee on Enforced Disappearances noted that the Austrian Ombudsman Board is also the national preventive mechanism under the Optional Protocol to </w:t>
      </w:r>
      <w:r w:rsidRPr="00DE39B5">
        <w:rPr>
          <w:lang w:val="en-GB"/>
        </w:rPr>
        <w:lastRenderedPageBreak/>
        <w:t xml:space="preserve">the Convention against Torture and Other Cruel, Inhuman or Degrading Treatment or Punishment. In particular, the Committee expressed concern over the limited mandate of the Board with regard to allegations of abuse by law enforcement officials. Moreover, the Committee noted with concern the reported lack of formal public consultation and of participation by civil society during the nomination and appointment process. The Committee encouraged Austria to expand the mandate of the Austrian </w:t>
      </w:r>
      <w:r w:rsidR="00DD020B">
        <w:rPr>
          <w:lang w:val="en-GB"/>
        </w:rPr>
        <w:t>Ombudsman</w:t>
      </w:r>
      <w:r w:rsidR="005D15AD">
        <w:rPr>
          <w:lang w:val="en-GB"/>
        </w:rPr>
        <w:t xml:space="preserve"> Board accordingly (</w:t>
      </w:r>
      <w:hyperlink r:id="rId17" w:history="1">
        <w:r w:rsidRPr="00DE39B5">
          <w:rPr>
            <w:rStyle w:val="Hyperlink"/>
            <w:lang w:val="en-GB"/>
          </w:rPr>
          <w:t>CED/C/AUT/CO/1</w:t>
        </w:r>
      </w:hyperlink>
      <w:r w:rsidRPr="00DE39B5">
        <w:rPr>
          <w:lang w:val="en-GB"/>
        </w:rPr>
        <w:t xml:space="preserve">, para </w:t>
      </w:r>
      <w:proofErr w:type="gramStart"/>
      <w:r w:rsidRPr="00DE39B5">
        <w:rPr>
          <w:lang w:val="en-GB"/>
        </w:rPr>
        <w:t>8</w:t>
      </w:r>
      <w:proofErr w:type="gramEnd"/>
      <w:r w:rsidRPr="00DE39B5">
        <w:rPr>
          <w:lang w:val="en-GB"/>
        </w:rPr>
        <w:t xml:space="preserve">, 9). </w:t>
      </w:r>
    </w:p>
    <w:p w14:paraId="25A79266" w14:textId="06F316C2" w:rsidR="001B7CA2" w:rsidRPr="00DE39B5" w:rsidRDefault="001B7CA2" w:rsidP="00B2202D">
      <w:pPr>
        <w:spacing w:line="240" w:lineRule="auto"/>
        <w:jc w:val="both"/>
        <w:rPr>
          <w:lang w:val="en-GB"/>
        </w:rPr>
      </w:pPr>
      <w:r w:rsidRPr="00DE39B5">
        <w:rPr>
          <w:b/>
          <w:bCs/>
          <w:i/>
          <w:iCs/>
          <w:lang w:val="en-GB"/>
        </w:rPr>
        <w:t xml:space="preserve">C. Accessibility and judicial review of administrative decisions </w:t>
      </w:r>
    </w:p>
    <w:p w14:paraId="28A8155E" w14:textId="77777777" w:rsidR="001B7CA2" w:rsidRPr="00DE39B5" w:rsidRDefault="001B7CA2" w:rsidP="00B2202D">
      <w:pPr>
        <w:spacing w:line="240" w:lineRule="auto"/>
        <w:jc w:val="both"/>
        <w:rPr>
          <w:lang w:val="en-GB"/>
        </w:rPr>
      </w:pPr>
      <w:r w:rsidRPr="00DE39B5">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DE39B5" w:rsidRDefault="001B7CA2" w:rsidP="00B2202D">
      <w:pPr>
        <w:spacing w:line="240" w:lineRule="auto"/>
        <w:jc w:val="both"/>
        <w:rPr>
          <w:lang w:val="en-GB"/>
        </w:rPr>
      </w:pPr>
      <w:r w:rsidRPr="00DE39B5">
        <w:rPr>
          <w:i/>
          <w:iCs/>
          <w:lang w:val="en-GB"/>
        </w:rPr>
        <w:t xml:space="preserve">44. Implementation by the public administration and State institutions of final court decisions </w:t>
      </w:r>
    </w:p>
    <w:p w14:paraId="2081FC02" w14:textId="77777777" w:rsidR="001B7CA2" w:rsidRPr="00DE39B5" w:rsidRDefault="001B7CA2" w:rsidP="00B2202D">
      <w:pPr>
        <w:spacing w:line="240" w:lineRule="auto"/>
        <w:jc w:val="both"/>
        <w:rPr>
          <w:lang w:val="en-GB"/>
        </w:rPr>
      </w:pPr>
      <w:r w:rsidRPr="00DE39B5">
        <w:rPr>
          <w:b/>
          <w:bCs/>
          <w:i/>
          <w:iCs/>
          <w:lang w:val="en-GB"/>
        </w:rPr>
        <w:t xml:space="preserve">D. The enabling framework for civil society </w:t>
      </w:r>
    </w:p>
    <w:p w14:paraId="35ADA468" w14:textId="77777777" w:rsidR="001B7CA2" w:rsidRPr="00DE39B5" w:rsidRDefault="001B7CA2" w:rsidP="00B2202D">
      <w:pPr>
        <w:spacing w:line="240" w:lineRule="auto"/>
        <w:jc w:val="both"/>
        <w:rPr>
          <w:lang w:val="en-GB"/>
        </w:rPr>
      </w:pPr>
      <w:r w:rsidRPr="00DE39B5">
        <w:rPr>
          <w:i/>
          <w:iCs/>
          <w:lang w:val="en-GB"/>
        </w:rPr>
        <w:t xml:space="preserve">45. Measures regarding the framework for civil society organisations (e.g. access to funding, registration rules, measures capable of affecting the public perception of civil society organisations, etc.) </w:t>
      </w:r>
    </w:p>
    <w:p w14:paraId="6188EECA" w14:textId="77777777" w:rsidR="001B7CA2" w:rsidRPr="00DE39B5" w:rsidRDefault="001B7CA2" w:rsidP="00B2202D">
      <w:pPr>
        <w:spacing w:line="240" w:lineRule="auto"/>
        <w:jc w:val="both"/>
        <w:rPr>
          <w:lang w:val="en-GB"/>
        </w:rPr>
      </w:pPr>
      <w:r w:rsidRPr="00DE39B5">
        <w:rPr>
          <w:b/>
          <w:bCs/>
          <w:i/>
          <w:iCs/>
          <w:lang w:val="en-GB"/>
        </w:rPr>
        <w:t xml:space="preserve">E. Initiatives to foster a rule of law culture </w:t>
      </w:r>
    </w:p>
    <w:p w14:paraId="5D3DA062" w14:textId="77777777" w:rsidR="001B7CA2" w:rsidRPr="00DE39B5" w:rsidRDefault="001B7CA2" w:rsidP="00B2202D">
      <w:pPr>
        <w:spacing w:line="240" w:lineRule="auto"/>
        <w:jc w:val="both"/>
        <w:rPr>
          <w:lang w:val="en-GB"/>
        </w:rPr>
      </w:pPr>
      <w:r w:rsidRPr="00DE39B5">
        <w:rPr>
          <w:i/>
          <w:iCs/>
          <w:lang w:val="en-GB"/>
        </w:rPr>
        <w:t xml:space="preserve">46. Measures to foster a rule of law culture (e.g. debates in national parliaments on the rule of law, public information campaigns on rule of law issues, etc.) </w:t>
      </w:r>
    </w:p>
    <w:p w14:paraId="6B297B43" w14:textId="7584B2CA" w:rsidR="00E75F98" w:rsidRPr="00B2202D" w:rsidRDefault="001B7CA2" w:rsidP="00B2202D">
      <w:pPr>
        <w:spacing w:line="240" w:lineRule="auto"/>
        <w:jc w:val="both"/>
        <w:rPr>
          <w:lang w:val="en-GB"/>
        </w:rPr>
      </w:pPr>
      <w:r w:rsidRPr="00DE39B5">
        <w:rPr>
          <w:b/>
          <w:bCs/>
          <w:i/>
          <w:iCs/>
          <w:lang w:val="en-GB"/>
        </w:rPr>
        <w:t>Other – please specify</w:t>
      </w:r>
    </w:p>
    <w:p w14:paraId="3170F293" w14:textId="77777777" w:rsidR="008C7A94" w:rsidRPr="00DE39B5" w:rsidRDefault="008C7A94" w:rsidP="00E7579B">
      <w:pPr>
        <w:jc w:val="both"/>
        <w:rPr>
          <w:rFonts w:eastAsia="Calibri" w:cstheme="minorHAnsi"/>
          <w:sz w:val="20"/>
          <w:szCs w:val="24"/>
          <w:lang w:val="en-GB"/>
        </w:rPr>
      </w:pPr>
    </w:p>
    <w:sectPr w:rsidR="008C7A94" w:rsidRPr="00DE39B5">
      <w:footerReference w:type="default" r:id="rId18"/>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606C2" w14:textId="77777777" w:rsidR="00085293" w:rsidRDefault="00085293" w:rsidP="00AB6BD8">
      <w:pPr>
        <w:spacing w:after="0" w:line="240" w:lineRule="auto"/>
      </w:pPr>
      <w:r>
        <w:separator/>
      </w:r>
    </w:p>
  </w:endnote>
  <w:endnote w:type="continuationSeparator" w:id="0">
    <w:p w14:paraId="046A5CC1" w14:textId="77777777" w:rsidR="00085293" w:rsidRDefault="00085293"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7E66BEF9" w:rsidR="008F5F0F" w:rsidRDefault="008F5F0F">
        <w:pPr>
          <w:pStyle w:val="Footer"/>
          <w:jc w:val="center"/>
        </w:pPr>
        <w:r>
          <w:fldChar w:fldCharType="begin"/>
        </w:r>
        <w:r>
          <w:instrText>PAGE   \* MERGEFORMAT</w:instrText>
        </w:r>
        <w:r>
          <w:fldChar w:fldCharType="separate"/>
        </w:r>
        <w:r w:rsidR="00CE3230" w:rsidRPr="00CE3230">
          <w:rPr>
            <w:noProof/>
            <w:lang w:val="fr-FR"/>
          </w:rPr>
          <w:t>5</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32E14" w14:textId="77777777" w:rsidR="00085293" w:rsidRDefault="00085293" w:rsidP="00AB6BD8">
      <w:pPr>
        <w:spacing w:after="0" w:line="240" w:lineRule="auto"/>
      </w:pPr>
      <w:r>
        <w:separator/>
      </w:r>
    </w:p>
  </w:footnote>
  <w:footnote w:type="continuationSeparator" w:id="0">
    <w:p w14:paraId="2F4EB46F" w14:textId="77777777" w:rsidR="00085293" w:rsidRDefault="00085293"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619AF"/>
    <w:rsid w:val="00063670"/>
    <w:rsid w:val="00085293"/>
    <w:rsid w:val="000B7A79"/>
    <w:rsid w:val="000C2E6A"/>
    <w:rsid w:val="000F74F4"/>
    <w:rsid w:val="0012128E"/>
    <w:rsid w:val="00137F92"/>
    <w:rsid w:val="0014050F"/>
    <w:rsid w:val="00177C5D"/>
    <w:rsid w:val="00195595"/>
    <w:rsid w:val="001A170A"/>
    <w:rsid w:val="001B7CA2"/>
    <w:rsid w:val="001C79A2"/>
    <w:rsid w:val="001C7CCF"/>
    <w:rsid w:val="002057FA"/>
    <w:rsid w:val="00221C79"/>
    <w:rsid w:val="00221F18"/>
    <w:rsid w:val="00251082"/>
    <w:rsid w:val="00275AE3"/>
    <w:rsid w:val="002B407D"/>
    <w:rsid w:val="002C15AB"/>
    <w:rsid w:val="002D45D1"/>
    <w:rsid w:val="00351BA9"/>
    <w:rsid w:val="00383787"/>
    <w:rsid w:val="003A4BFE"/>
    <w:rsid w:val="003F5DE6"/>
    <w:rsid w:val="004112AA"/>
    <w:rsid w:val="00441ABB"/>
    <w:rsid w:val="00451BE5"/>
    <w:rsid w:val="004809CC"/>
    <w:rsid w:val="004A0573"/>
    <w:rsid w:val="004B139B"/>
    <w:rsid w:val="004E2083"/>
    <w:rsid w:val="004F00B8"/>
    <w:rsid w:val="00531531"/>
    <w:rsid w:val="00547436"/>
    <w:rsid w:val="005D15AD"/>
    <w:rsid w:val="005E449A"/>
    <w:rsid w:val="0066480F"/>
    <w:rsid w:val="00680265"/>
    <w:rsid w:val="006B1DC5"/>
    <w:rsid w:val="006C6EF5"/>
    <w:rsid w:val="006D49CF"/>
    <w:rsid w:val="00782A23"/>
    <w:rsid w:val="0080379C"/>
    <w:rsid w:val="00812CA6"/>
    <w:rsid w:val="00815599"/>
    <w:rsid w:val="00832B97"/>
    <w:rsid w:val="008628EF"/>
    <w:rsid w:val="00867498"/>
    <w:rsid w:val="008977D9"/>
    <w:rsid w:val="008A1B74"/>
    <w:rsid w:val="008A7229"/>
    <w:rsid w:val="008B5DE9"/>
    <w:rsid w:val="008C7A94"/>
    <w:rsid w:val="008E537C"/>
    <w:rsid w:val="008F5F0F"/>
    <w:rsid w:val="00916B8E"/>
    <w:rsid w:val="009747C2"/>
    <w:rsid w:val="009808E9"/>
    <w:rsid w:val="00997215"/>
    <w:rsid w:val="009E3A4A"/>
    <w:rsid w:val="00A114BB"/>
    <w:rsid w:val="00A65901"/>
    <w:rsid w:val="00AB4073"/>
    <w:rsid w:val="00AB6BD8"/>
    <w:rsid w:val="00AF3572"/>
    <w:rsid w:val="00B2202D"/>
    <w:rsid w:val="00B31361"/>
    <w:rsid w:val="00B54E3F"/>
    <w:rsid w:val="00B669A0"/>
    <w:rsid w:val="00B77A96"/>
    <w:rsid w:val="00B837B5"/>
    <w:rsid w:val="00B94426"/>
    <w:rsid w:val="00BB26FB"/>
    <w:rsid w:val="00BB67D7"/>
    <w:rsid w:val="00BC1D9A"/>
    <w:rsid w:val="00C30641"/>
    <w:rsid w:val="00C34944"/>
    <w:rsid w:val="00C46DCD"/>
    <w:rsid w:val="00C924D7"/>
    <w:rsid w:val="00C93B37"/>
    <w:rsid w:val="00CC6B37"/>
    <w:rsid w:val="00CD1815"/>
    <w:rsid w:val="00CE3230"/>
    <w:rsid w:val="00CF698C"/>
    <w:rsid w:val="00D70621"/>
    <w:rsid w:val="00D848D8"/>
    <w:rsid w:val="00DA2342"/>
    <w:rsid w:val="00DB5065"/>
    <w:rsid w:val="00DC470F"/>
    <w:rsid w:val="00DD020B"/>
    <w:rsid w:val="00DE39B5"/>
    <w:rsid w:val="00E240FD"/>
    <w:rsid w:val="00E64DD2"/>
    <w:rsid w:val="00E7579B"/>
    <w:rsid w:val="00E75F98"/>
    <w:rsid w:val="00EF1D21"/>
    <w:rsid w:val="00EF36D6"/>
    <w:rsid w:val="00EF39A5"/>
    <w:rsid w:val="00EF4DF8"/>
    <w:rsid w:val="00F1483E"/>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619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30641"/>
    <w:pPr>
      <w:spacing w:before="100" w:beforeAutospacing="1" w:after="100" w:afterAutospacing="1" w:line="240" w:lineRule="auto"/>
      <w:outlineLvl w:val="2"/>
    </w:pPr>
    <w:rPr>
      <w:rFonts w:ascii="Times New Roman" w:eastAsia="Times New Roman" w:hAnsi="Times New Roman" w:cs="Times New Roman"/>
      <w:b/>
      <w:bCs/>
      <w:sz w:val="27"/>
      <w:szCs w:val="27"/>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
    <w:name w:val="Unresolved Mention"/>
    <w:basedOn w:val="DefaultParagraphFont"/>
    <w:uiPriority w:val="99"/>
    <w:semiHidden/>
    <w:unhideWhenUsed/>
    <w:rsid w:val="00BB26FB"/>
    <w:rPr>
      <w:color w:val="605E5C"/>
      <w:shd w:val="clear" w:color="auto" w:fill="E1DFDD"/>
    </w:rPr>
  </w:style>
  <w:style w:type="character" w:customStyle="1" w:styleId="Heading3Char">
    <w:name w:val="Heading 3 Char"/>
    <w:basedOn w:val="DefaultParagraphFont"/>
    <w:link w:val="Heading3"/>
    <w:uiPriority w:val="9"/>
    <w:rsid w:val="00C30641"/>
    <w:rPr>
      <w:rFonts w:ascii="Times New Roman" w:eastAsia="Times New Roman" w:hAnsi="Times New Roman" w:cs="Times New Roman"/>
      <w:b/>
      <w:bCs/>
      <w:sz w:val="27"/>
      <w:szCs w:val="27"/>
      <w:lang w:val="de-DE" w:eastAsia="de-DE"/>
    </w:rPr>
  </w:style>
  <w:style w:type="paragraph" w:customStyle="1" w:styleId="Default">
    <w:name w:val="Default"/>
    <w:rsid w:val="0014050F"/>
    <w:pPr>
      <w:autoSpaceDE w:val="0"/>
      <w:autoSpaceDN w:val="0"/>
      <w:adjustRightInd w:val="0"/>
      <w:spacing w:after="0" w:line="240" w:lineRule="auto"/>
    </w:pPr>
    <w:rPr>
      <w:rFonts w:ascii="Times New Roman" w:hAnsi="Times New Roman" w:cs="Times New Roman"/>
      <w:color w:val="000000"/>
      <w:sz w:val="24"/>
      <w:szCs w:val="24"/>
      <w:lang w:val="de-DE"/>
    </w:rPr>
  </w:style>
  <w:style w:type="character" w:customStyle="1" w:styleId="Heading2Char">
    <w:name w:val="Heading 2 Char"/>
    <w:basedOn w:val="DefaultParagraphFont"/>
    <w:link w:val="Heading2"/>
    <w:uiPriority w:val="9"/>
    <w:semiHidden/>
    <w:rsid w:val="000619A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3461">
      <w:bodyDiv w:val="1"/>
      <w:marLeft w:val="0"/>
      <w:marRight w:val="0"/>
      <w:marTop w:val="0"/>
      <w:marBottom w:val="0"/>
      <w:divBdr>
        <w:top w:val="none" w:sz="0" w:space="0" w:color="auto"/>
        <w:left w:val="none" w:sz="0" w:space="0" w:color="auto"/>
        <w:bottom w:val="none" w:sz="0" w:space="0" w:color="auto"/>
        <w:right w:val="none" w:sz="0" w:space="0" w:color="auto"/>
      </w:divBdr>
    </w:div>
    <w:div w:id="107939043">
      <w:bodyDiv w:val="1"/>
      <w:marLeft w:val="0"/>
      <w:marRight w:val="0"/>
      <w:marTop w:val="0"/>
      <w:marBottom w:val="0"/>
      <w:divBdr>
        <w:top w:val="none" w:sz="0" w:space="0" w:color="auto"/>
        <w:left w:val="none" w:sz="0" w:space="0" w:color="auto"/>
        <w:bottom w:val="none" w:sz="0" w:space="0" w:color="auto"/>
        <w:right w:val="none" w:sz="0" w:space="0" w:color="auto"/>
      </w:divBdr>
    </w:div>
    <w:div w:id="145980379">
      <w:bodyDiv w:val="1"/>
      <w:marLeft w:val="0"/>
      <w:marRight w:val="0"/>
      <w:marTop w:val="0"/>
      <w:marBottom w:val="0"/>
      <w:divBdr>
        <w:top w:val="none" w:sz="0" w:space="0" w:color="auto"/>
        <w:left w:val="none" w:sz="0" w:space="0" w:color="auto"/>
        <w:bottom w:val="none" w:sz="0" w:space="0" w:color="auto"/>
        <w:right w:val="none" w:sz="0" w:space="0" w:color="auto"/>
      </w:divBdr>
    </w:div>
    <w:div w:id="196436550">
      <w:bodyDiv w:val="1"/>
      <w:marLeft w:val="0"/>
      <w:marRight w:val="0"/>
      <w:marTop w:val="0"/>
      <w:marBottom w:val="0"/>
      <w:divBdr>
        <w:top w:val="none" w:sz="0" w:space="0" w:color="auto"/>
        <w:left w:val="none" w:sz="0" w:space="0" w:color="auto"/>
        <w:bottom w:val="none" w:sz="0" w:space="0" w:color="auto"/>
        <w:right w:val="none" w:sz="0" w:space="0" w:color="auto"/>
      </w:divBdr>
    </w:div>
    <w:div w:id="283079954">
      <w:bodyDiv w:val="1"/>
      <w:marLeft w:val="0"/>
      <w:marRight w:val="0"/>
      <w:marTop w:val="0"/>
      <w:marBottom w:val="0"/>
      <w:divBdr>
        <w:top w:val="none" w:sz="0" w:space="0" w:color="auto"/>
        <w:left w:val="none" w:sz="0" w:space="0" w:color="auto"/>
        <w:bottom w:val="none" w:sz="0" w:space="0" w:color="auto"/>
        <w:right w:val="none" w:sz="0" w:space="0" w:color="auto"/>
      </w:divBdr>
    </w:div>
    <w:div w:id="296569365">
      <w:bodyDiv w:val="1"/>
      <w:marLeft w:val="0"/>
      <w:marRight w:val="0"/>
      <w:marTop w:val="0"/>
      <w:marBottom w:val="0"/>
      <w:divBdr>
        <w:top w:val="none" w:sz="0" w:space="0" w:color="auto"/>
        <w:left w:val="none" w:sz="0" w:space="0" w:color="auto"/>
        <w:bottom w:val="none" w:sz="0" w:space="0" w:color="auto"/>
        <w:right w:val="none" w:sz="0" w:space="0" w:color="auto"/>
      </w:divBdr>
    </w:div>
    <w:div w:id="312805338">
      <w:bodyDiv w:val="1"/>
      <w:marLeft w:val="0"/>
      <w:marRight w:val="0"/>
      <w:marTop w:val="0"/>
      <w:marBottom w:val="0"/>
      <w:divBdr>
        <w:top w:val="none" w:sz="0" w:space="0" w:color="auto"/>
        <w:left w:val="none" w:sz="0" w:space="0" w:color="auto"/>
        <w:bottom w:val="none" w:sz="0" w:space="0" w:color="auto"/>
        <w:right w:val="none" w:sz="0" w:space="0" w:color="auto"/>
      </w:divBdr>
    </w:div>
    <w:div w:id="373193453">
      <w:bodyDiv w:val="1"/>
      <w:marLeft w:val="0"/>
      <w:marRight w:val="0"/>
      <w:marTop w:val="0"/>
      <w:marBottom w:val="0"/>
      <w:divBdr>
        <w:top w:val="none" w:sz="0" w:space="0" w:color="auto"/>
        <w:left w:val="none" w:sz="0" w:space="0" w:color="auto"/>
        <w:bottom w:val="none" w:sz="0" w:space="0" w:color="auto"/>
        <w:right w:val="none" w:sz="0" w:space="0" w:color="auto"/>
      </w:divBdr>
    </w:div>
    <w:div w:id="401408645">
      <w:bodyDiv w:val="1"/>
      <w:marLeft w:val="0"/>
      <w:marRight w:val="0"/>
      <w:marTop w:val="0"/>
      <w:marBottom w:val="0"/>
      <w:divBdr>
        <w:top w:val="none" w:sz="0" w:space="0" w:color="auto"/>
        <w:left w:val="none" w:sz="0" w:space="0" w:color="auto"/>
        <w:bottom w:val="none" w:sz="0" w:space="0" w:color="auto"/>
        <w:right w:val="none" w:sz="0" w:space="0" w:color="auto"/>
      </w:divBdr>
    </w:div>
    <w:div w:id="427505446">
      <w:bodyDiv w:val="1"/>
      <w:marLeft w:val="0"/>
      <w:marRight w:val="0"/>
      <w:marTop w:val="0"/>
      <w:marBottom w:val="0"/>
      <w:divBdr>
        <w:top w:val="none" w:sz="0" w:space="0" w:color="auto"/>
        <w:left w:val="none" w:sz="0" w:space="0" w:color="auto"/>
        <w:bottom w:val="none" w:sz="0" w:space="0" w:color="auto"/>
        <w:right w:val="none" w:sz="0" w:space="0" w:color="auto"/>
      </w:divBdr>
    </w:div>
    <w:div w:id="514156258">
      <w:bodyDiv w:val="1"/>
      <w:marLeft w:val="0"/>
      <w:marRight w:val="0"/>
      <w:marTop w:val="0"/>
      <w:marBottom w:val="0"/>
      <w:divBdr>
        <w:top w:val="none" w:sz="0" w:space="0" w:color="auto"/>
        <w:left w:val="none" w:sz="0" w:space="0" w:color="auto"/>
        <w:bottom w:val="none" w:sz="0" w:space="0" w:color="auto"/>
        <w:right w:val="none" w:sz="0" w:space="0" w:color="auto"/>
      </w:divBdr>
    </w:div>
    <w:div w:id="542601692">
      <w:bodyDiv w:val="1"/>
      <w:marLeft w:val="0"/>
      <w:marRight w:val="0"/>
      <w:marTop w:val="0"/>
      <w:marBottom w:val="0"/>
      <w:divBdr>
        <w:top w:val="none" w:sz="0" w:space="0" w:color="auto"/>
        <w:left w:val="none" w:sz="0" w:space="0" w:color="auto"/>
        <w:bottom w:val="none" w:sz="0" w:space="0" w:color="auto"/>
        <w:right w:val="none" w:sz="0" w:space="0" w:color="auto"/>
      </w:divBdr>
    </w:div>
    <w:div w:id="713887912">
      <w:bodyDiv w:val="1"/>
      <w:marLeft w:val="0"/>
      <w:marRight w:val="0"/>
      <w:marTop w:val="0"/>
      <w:marBottom w:val="0"/>
      <w:divBdr>
        <w:top w:val="none" w:sz="0" w:space="0" w:color="auto"/>
        <w:left w:val="none" w:sz="0" w:space="0" w:color="auto"/>
        <w:bottom w:val="none" w:sz="0" w:space="0" w:color="auto"/>
        <w:right w:val="none" w:sz="0" w:space="0" w:color="auto"/>
      </w:divBdr>
    </w:div>
    <w:div w:id="73204990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84512320">
      <w:bodyDiv w:val="1"/>
      <w:marLeft w:val="0"/>
      <w:marRight w:val="0"/>
      <w:marTop w:val="0"/>
      <w:marBottom w:val="0"/>
      <w:divBdr>
        <w:top w:val="none" w:sz="0" w:space="0" w:color="auto"/>
        <w:left w:val="none" w:sz="0" w:space="0" w:color="auto"/>
        <w:bottom w:val="none" w:sz="0" w:space="0" w:color="auto"/>
        <w:right w:val="none" w:sz="0" w:space="0" w:color="auto"/>
      </w:divBdr>
    </w:div>
    <w:div w:id="986906939">
      <w:bodyDiv w:val="1"/>
      <w:marLeft w:val="0"/>
      <w:marRight w:val="0"/>
      <w:marTop w:val="0"/>
      <w:marBottom w:val="0"/>
      <w:divBdr>
        <w:top w:val="none" w:sz="0" w:space="0" w:color="auto"/>
        <w:left w:val="none" w:sz="0" w:space="0" w:color="auto"/>
        <w:bottom w:val="none" w:sz="0" w:space="0" w:color="auto"/>
        <w:right w:val="none" w:sz="0" w:space="0" w:color="auto"/>
      </w:divBdr>
    </w:div>
    <w:div w:id="998844345">
      <w:bodyDiv w:val="1"/>
      <w:marLeft w:val="0"/>
      <w:marRight w:val="0"/>
      <w:marTop w:val="0"/>
      <w:marBottom w:val="0"/>
      <w:divBdr>
        <w:top w:val="none" w:sz="0" w:space="0" w:color="auto"/>
        <w:left w:val="none" w:sz="0" w:space="0" w:color="auto"/>
        <w:bottom w:val="none" w:sz="0" w:space="0" w:color="auto"/>
        <w:right w:val="none" w:sz="0" w:space="0" w:color="auto"/>
      </w:divBdr>
    </w:div>
    <w:div w:id="1032421211">
      <w:bodyDiv w:val="1"/>
      <w:marLeft w:val="0"/>
      <w:marRight w:val="0"/>
      <w:marTop w:val="0"/>
      <w:marBottom w:val="0"/>
      <w:divBdr>
        <w:top w:val="none" w:sz="0" w:space="0" w:color="auto"/>
        <w:left w:val="none" w:sz="0" w:space="0" w:color="auto"/>
        <w:bottom w:val="none" w:sz="0" w:space="0" w:color="auto"/>
        <w:right w:val="none" w:sz="0" w:space="0" w:color="auto"/>
      </w:divBdr>
    </w:div>
    <w:div w:id="1129713177">
      <w:bodyDiv w:val="1"/>
      <w:marLeft w:val="0"/>
      <w:marRight w:val="0"/>
      <w:marTop w:val="0"/>
      <w:marBottom w:val="0"/>
      <w:divBdr>
        <w:top w:val="none" w:sz="0" w:space="0" w:color="auto"/>
        <w:left w:val="none" w:sz="0" w:space="0" w:color="auto"/>
        <w:bottom w:val="none" w:sz="0" w:space="0" w:color="auto"/>
        <w:right w:val="none" w:sz="0" w:space="0" w:color="auto"/>
      </w:divBdr>
    </w:div>
    <w:div w:id="1180241629">
      <w:bodyDiv w:val="1"/>
      <w:marLeft w:val="0"/>
      <w:marRight w:val="0"/>
      <w:marTop w:val="0"/>
      <w:marBottom w:val="0"/>
      <w:divBdr>
        <w:top w:val="none" w:sz="0" w:space="0" w:color="auto"/>
        <w:left w:val="none" w:sz="0" w:space="0" w:color="auto"/>
        <w:bottom w:val="none" w:sz="0" w:space="0" w:color="auto"/>
        <w:right w:val="none" w:sz="0" w:space="0" w:color="auto"/>
      </w:divBdr>
    </w:div>
    <w:div w:id="1225720980">
      <w:bodyDiv w:val="1"/>
      <w:marLeft w:val="0"/>
      <w:marRight w:val="0"/>
      <w:marTop w:val="0"/>
      <w:marBottom w:val="0"/>
      <w:divBdr>
        <w:top w:val="none" w:sz="0" w:space="0" w:color="auto"/>
        <w:left w:val="none" w:sz="0" w:space="0" w:color="auto"/>
        <w:bottom w:val="none" w:sz="0" w:space="0" w:color="auto"/>
        <w:right w:val="none" w:sz="0" w:space="0" w:color="auto"/>
      </w:divBdr>
    </w:div>
    <w:div w:id="1312514765">
      <w:bodyDiv w:val="1"/>
      <w:marLeft w:val="0"/>
      <w:marRight w:val="0"/>
      <w:marTop w:val="0"/>
      <w:marBottom w:val="0"/>
      <w:divBdr>
        <w:top w:val="none" w:sz="0" w:space="0" w:color="auto"/>
        <w:left w:val="none" w:sz="0" w:space="0" w:color="auto"/>
        <w:bottom w:val="none" w:sz="0" w:space="0" w:color="auto"/>
        <w:right w:val="none" w:sz="0" w:space="0" w:color="auto"/>
      </w:divBdr>
    </w:div>
    <w:div w:id="1323043464">
      <w:bodyDiv w:val="1"/>
      <w:marLeft w:val="0"/>
      <w:marRight w:val="0"/>
      <w:marTop w:val="0"/>
      <w:marBottom w:val="0"/>
      <w:divBdr>
        <w:top w:val="none" w:sz="0" w:space="0" w:color="auto"/>
        <w:left w:val="none" w:sz="0" w:space="0" w:color="auto"/>
        <w:bottom w:val="none" w:sz="0" w:space="0" w:color="auto"/>
        <w:right w:val="none" w:sz="0" w:space="0" w:color="auto"/>
      </w:divBdr>
    </w:div>
    <w:div w:id="1360426203">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01755649">
      <w:bodyDiv w:val="1"/>
      <w:marLeft w:val="0"/>
      <w:marRight w:val="0"/>
      <w:marTop w:val="0"/>
      <w:marBottom w:val="0"/>
      <w:divBdr>
        <w:top w:val="none" w:sz="0" w:space="0" w:color="auto"/>
        <w:left w:val="none" w:sz="0" w:space="0" w:color="auto"/>
        <w:bottom w:val="none" w:sz="0" w:space="0" w:color="auto"/>
        <w:right w:val="none" w:sz="0" w:space="0" w:color="auto"/>
      </w:divBdr>
    </w:div>
    <w:div w:id="1575823919">
      <w:bodyDiv w:val="1"/>
      <w:marLeft w:val="0"/>
      <w:marRight w:val="0"/>
      <w:marTop w:val="0"/>
      <w:marBottom w:val="0"/>
      <w:divBdr>
        <w:top w:val="none" w:sz="0" w:space="0" w:color="auto"/>
        <w:left w:val="none" w:sz="0" w:space="0" w:color="auto"/>
        <w:bottom w:val="none" w:sz="0" w:space="0" w:color="auto"/>
        <w:right w:val="none" w:sz="0" w:space="0" w:color="auto"/>
      </w:divBdr>
    </w:div>
    <w:div w:id="1658075128">
      <w:bodyDiv w:val="1"/>
      <w:marLeft w:val="0"/>
      <w:marRight w:val="0"/>
      <w:marTop w:val="0"/>
      <w:marBottom w:val="0"/>
      <w:divBdr>
        <w:top w:val="none" w:sz="0" w:space="0" w:color="auto"/>
        <w:left w:val="none" w:sz="0" w:space="0" w:color="auto"/>
        <w:bottom w:val="none" w:sz="0" w:space="0" w:color="auto"/>
        <w:right w:val="none" w:sz="0" w:space="0" w:color="auto"/>
      </w:divBdr>
    </w:div>
    <w:div w:id="1662542799">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43020316">
      <w:bodyDiv w:val="1"/>
      <w:marLeft w:val="0"/>
      <w:marRight w:val="0"/>
      <w:marTop w:val="0"/>
      <w:marBottom w:val="0"/>
      <w:divBdr>
        <w:top w:val="none" w:sz="0" w:space="0" w:color="auto"/>
        <w:left w:val="none" w:sz="0" w:space="0" w:color="auto"/>
        <w:bottom w:val="none" w:sz="0" w:space="0" w:color="auto"/>
        <w:right w:val="none" w:sz="0" w:space="0" w:color="auto"/>
      </w:divBdr>
    </w:div>
    <w:div w:id="1756049253">
      <w:bodyDiv w:val="1"/>
      <w:marLeft w:val="0"/>
      <w:marRight w:val="0"/>
      <w:marTop w:val="0"/>
      <w:marBottom w:val="0"/>
      <w:divBdr>
        <w:top w:val="none" w:sz="0" w:space="0" w:color="auto"/>
        <w:left w:val="none" w:sz="0" w:space="0" w:color="auto"/>
        <w:bottom w:val="none" w:sz="0" w:space="0" w:color="auto"/>
        <w:right w:val="none" w:sz="0" w:space="0" w:color="auto"/>
      </w:divBdr>
    </w:div>
    <w:div w:id="1797872767">
      <w:bodyDiv w:val="1"/>
      <w:marLeft w:val="0"/>
      <w:marRight w:val="0"/>
      <w:marTop w:val="0"/>
      <w:marBottom w:val="0"/>
      <w:divBdr>
        <w:top w:val="none" w:sz="0" w:space="0" w:color="auto"/>
        <w:left w:val="none" w:sz="0" w:space="0" w:color="auto"/>
        <w:bottom w:val="none" w:sz="0" w:space="0" w:color="auto"/>
        <w:right w:val="none" w:sz="0" w:space="0" w:color="auto"/>
      </w:divBdr>
    </w:div>
    <w:div w:id="2069642786">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tore.ohchr.org/SelfServices/FilesHandler.ashx?enc=6QkG1d%2fPPRiCAqhKb7yhsvkrHee8tArE5cEO48WRQ1gVMWjPAohzJdodkn0%2bhzkT3o0ypXMuZuHcJ2JrCvBAfWT2gxG4CnKP3OYI7GQNgUlNTid242NuiqJ%2boqBOlISF" TargetMode="External"/><Relationship Id="rId13" Type="http://schemas.openxmlformats.org/officeDocument/2006/relationships/hyperlink" Target="https://docstore.ohchr.org/SelfServices/FilesHandler.ashx?enc=6QkG1d%2fPPRiCAqhKb7yhsoWJzP7yAQUqacemrV62g87SaiojNv%2bqKe2XnXxesAUgjS%2fnkKuNUtg%2fcLG9pYo26sPKWMOT1s00lSeBuVuMjuRxX9c6lO%2bQSYv8IwP%2f3oA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tore.ohchr.org/SelfServices/FilesHandler.ashx?enc=6QkG1d%2fPPRiCAqhKb7yhsvkrHee8tArE5cEO48WRQ1gVMWjPAohzJdodkn0%2bhzkT3o0ypXMuZuHcJ2JrCvBAfWT2gxG4CnKP3OYI7GQNgUlNTid242NuiqJ%2boqBOlISF" TargetMode="External"/><Relationship Id="rId17" Type="http://schemas.openxmlformats.org/officeDocument/2006/relationships/hyperlink" Target="https://docstore.ohchr.org/SelfServices/FilesHandler.ashx?enc=6QkG1d%2fPPRiCAqhKb7yhsoWJzP7yAQUqacemrV62g87SaiojNv%2bqKe2XnXxesAUgjS%2fnkKuNUtg%2fcLG9pYo26sPKWMOT1s00lSeBuVuMjuRxX9c6lO%2bQSYv8IwP%2f3oAn" TargetMode="External"/><Relationship Id="rId2" Type="http://schemas.openxmlformats.org/officeDocument/2006/relationships/numbering" Target="numbering.xml"/><Relationship Id="rId16" Type="http://schemas.openxmlformats.org/officeDocument/2006/relationships/hyperlink" Target="https://docstore.ohchr.org/SelfServices/FilesHandler.ashx?enc=6QkG1d%2fPPRiCAqhKb7yhsgcjdm0xgERNaIXh22nhTUlNZW7AQztOWszeq8NsaJT1xH1X60FJixMF%2b8ODwd4hI9F%2bZHoswD6RDdhYFrDViGjO5Jnd3yfeNRkGwhWwV%2fO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tore.ohchr.org/SelfServices/FilesHandler.ashx?enc=6QkG1d%2fPPRiCAqhKb7yhsvkrHee8tArE5cEO48WRQ1gVMWjPAohzJdodkn0%2bhzkT3o0ypXMuZuHcJ2JrCvBAfWT2gxG4CnKP3OYI7GQNgUlNTid242NuiqJ%2boqBOlISF" TargetMode="External"/><Relationship Id="rId5" Type="http://schemas.openxmlformats.org/officeDocument/2006/relationships/webSettings" Target="webSettings.xml"/><Relationship Id="rId15" Type="http://schemas.openxmlformats.org/officeDocument/2006/relationships/hyperlink" Target="https://docstore.ohchr.org/SelfServices/FilesHandler.ashx?enc=6QkG1d%2fPPRiCAqhKb7yhsgcjdm0xgERNaIXh22nhTUlNZW7AQztOWszeq8NsaJT1xH1X60FJixMF%2b8ODwd4hI9F%2bZHoswD6RDdhYFrDViGjO5Jnd3yfeNRkGwhWwV%2fOE" TargetMode="External"/><Relationship Id="rId10" Type="http://schemas.openxmlformats.org/officeDocument/2006/relationships/hyperlink" Target="https://docstore.ohchr.org/SelfServices/FilesHandler.ashx?enc=6QkG1d%2fPPRiCAqhKb7yhsoWJzP7yAQUqacemrV62g87SaiojNv%2bqKe2XnXxesAUgjS%2fnkKuNUtg%2fcLG9pYo26sPKWMOT1s00lSeBuVuMjuRxX9c6lO%2bQSYv8IwP%2f3oA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tore.ohchr.org/SelfServices/FilesHandler.ashx?enc=6QkG1d%2fPPRiCAqhKb7yhsgcjdm0xgERNaIXh22nhTUlNZW7AQztOWszeq8NsaJT1xH1X60FJixMF%2b8ODwd4hI9F%2bZHoswD6RDdhYFrDViGjO5Jnd3yfeNRkGwhWwV%2fOE" TargetMode="External"/><Relationship Id="rId14" Type="http://schemas.openxmlformats.org/officeDocument/2006/relationships/hyperlink" Target="https://docstore.ohchr.org/SelfServices/FilesHandler.ashx?enc=6QkG1d%2fPPRiCAqhKb7yhsoWJzP7yAQUqacemrV62g87SaiojNv%2bqKe2XnXxesAUgjS%2fnkKuNUtg%2fcLG9pYo26sPKWMOT1s00lSeBuVuMjuRxX9c6lO%2bQSYv8IwP%2f3o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E1EC-AED2-429A-B7CA-A1BA5CB3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2378</Words>
  <Characters>13560</Characters>
  <Application>Microsoft Office Word</Application>
  <DocSecurity>0</DocSecurity>
  <Lines>113</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3</cp:revision>
  <dcterms:created xsi:type="dcterms:W3CDTF">2021-03-08T08:27:00Z</dcterms:created>
  <dcterms:modified xsi:type="dcterms:W3CDTF">2021-03-08T16:33:00Z</dcterms:modified>
</cp:coreProperties>
</file>